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535A" w:rsidRPr="00961953" w:rsidRDefault="000A535A" w:rsidP="00E24EFB">
      <w:pPr>
        <w:jc w:val="center"/>
        <w:rPr>
          <w:b/>
          <w:lang w:val="en-US"/>
        </w:rPr>
      </w:pPr>
      <w:bookmarkStart w:id="0" w:name="_GoBack"/>
      <w:bookmarkEnd w:id="0"/>
      <w:r w:rsidRPr="00961953">
        <w:rPr>
          <w:b/>
          <w:lang w:val="en-US"/>
        </w:rPr>
        <w:t>New York State Bar Association</w:t>
      </w:r>
    </w:p>
    <w:p w:rsidR="000A535A" w:rsidRPr="00961953" w:rsidRDefault="000A535A" w:rsidP="00E24EFB">
      <w:pPr>
        <w:jc w:val="center"/>
        <w:rPr>
          <w:b/>
          <w:lang w:val="en-US"/>
        </w:rPr>
      </w:pPr>
      <w:r w:rsidRPr="00961953">
        <w:rPr>
          <w:b/>
          <w:lang w:val="en-US"/>
        </w:rPr>
        <w:t>International Section, Seasonal Meeting 2011</w:t>
      </w:r>
    </w:p>
    <w:p w:rsidR="000A535A" w:rsidRPr="00961953" w:rsidRDefault="000A535A" w:rsidP="00E24EFB">
      <w:pPr>
        <w:jc w:val="center"/>
        <w:rPr>
          <w:b/>
          <w:lang w:val="en-US"/>
        </w:rPr>
      </w:pPr>
      <w:r w:rsidRPr="00961953">
        <w:rPr>
          <w:b/>
          <w:lang w:val="en-US"/>
        </w:rPr>
        <w:t>Panel 8</w:t>
      </w:r>
    </w:p>
    <w:p w:rsidR="000A535A" w:rsidRPr="00961953" w:rsidRDefault="000A535A" w:rsidP="00E24EFB">
      <w:pPr>
        <w:jc w:val="center"/>
        <w:rPr>
          <w:b/>
          <w:lang w:val="en-US"/>
        </w:rPr>
      </w:pPr>
      <w:r w:rsidRPr="00961953">
        <w:rPr>
          <w:b/>
          <w:lang w:val="en-US"/>
        </w:rPr>
        <w:t>Emerging Reforms in Latin American Civil Justice Systems</w:t>
      </w:r>
      <w:r w:rsidR="00FA5E94">
        <w:rPr>
          <w:rStyle w:val="Refdenotaalpie"/>
          <w:b/>
          <w:lang w:val="en-US"/>
        </w:rPr>
        <w:footnoteReference w:id="1"/>
      </w:r>
    </w:p>
    <w:p w:rsidR="000A535A" w:rsidRPr="00961953" w:rsidRDefault="000A535A" w:rsidP="00E24EFB">
      <w:pPr>
        <w:jc w:val="center"/>
        <w:rPr>
          <w:lang w:val="en-US"/>
        </w:rPr>
      </w:pPr>
    </w:p>
    <w:p w:rsidR="000A535A" w:rsidRPr="00961953" w:rsidRDefault="000A535A" w:rsidP="00E24EFB">
      <w:pPr>
        <w:jc w:val="center"/>
        <w:rPr>
          <w:lang w:val="en-US"/>
        </w:rPr>
      </w:pPr>
      <w:r w:rsidRPr="00961953">
        <w:rPr>
          <w:lang w:val="en-US"/>
        </w:rPr>
        <w:t>Part II of presentation:</w:t>
      </w:r>
    </w:p>
    <w:p w:rsidR="000A535A" w:rsidRPr="00961953" w:rsidRDefault="007D3599" w:rsidP="00E24EFB">
      <w:pPr>
        <w:jc w:val="center"/>
        <w:rPr>
          <w:lang w:val="en-US"/>
        </w:rPr>
      </w:pPr>
      <w:r w:rsidRPr="00961953">
        <w:rPr>
          <w:lang w:val="en-US"/>
        </w:rPr>
        <w:t xml:space="preserve">State of </w:t>
      </w:r>
      <w:r w:rsidR="000A535A" w:rsidRPr="00961953">
        <w:rPr>
          <w:lang w:val="en-US"/>
        </w:rPr>
        <w:t>Current Reforms in Latin America</w:t>
      </w:r>
    </w:p>
    <w:p w:rsidR="000A535A" w:rsidRPr="00961953" w:rsidRDefault="000A535A" w:rsidP="00E24EFB">
      <w:pPr>
        <w:jc w:val="center"/>
        <w:rPr>
          <w:lang w:val="en-US"/>
        </w:rPr>
      </w:pPr>
      <w:r w:rsidRPr="00961953">
        <w:rPr>
          <w:lang w:val="en-US"/>
        </w:rPr>
        <w:t xml:space="preserve">Carolina </w:t>
      </w:r>
      <w:proofErr w:type="spellStart"/>
      <w:r w:rsidRPr="00961953">
        <w:rPr>
          <w:lang w:val="en-US"/>
        </w:rPr>
        <w:t>Villadiego</w:t>
      </w:r>
      <w:proofErr w:type="spellEnd"/>
    </w:p>
    <w:p w:rsidR="000A535A" w:rsidRPr="00961953" w:rsidRDefault="000A535A" w:rsidP="00E24EFB">
      <w:pPr>
        <w:jc w:val="center"/>
        <w:rPr>
          <w:lang w:val="en-US"/>
        </w:rPr>
      </w:pPr>
      <w:r w:rsidRPr="00961953">
        <w:rPr>
          <w:lang w:val="en-US"/>
        </w:rPr>
        <w:t>Justice Studies Center of the Americas</w:t>
      </w:r>
    </w:p>
    <w:p w:rsidR="00831275" w:rsidRPr="00961953" w:rsidRDefault="000A535A" w:rsidP="00E24EFB">
      <w:pPr>
        <w:jc w:val="center"/>
        <w:rPr>
          <w:lang w:val="en-US"/>
        </w:rPr>
      </w:pPr>
      <w:r w:rsidRPr="00961953">
        <w:rPr>
          <w:lang w:val="en-US"/>
        </w:rPr>
        <w:t>September 2011</w:t>
      </w:r>
    </w:p>
    <w:p w:rsidR="00831275" w:rsidRDefault="00831275" w:rsidP="00E24EFB">
      <w:pPr>
        <w:jc w:val="both"/>
        <w:rPr>
          <w:b/>
          <w:lang w:val="en-US"/>
        </w:rPr>
      </w:pPr>
    </w:p>
    <w:p w:rsidR="000A535A" w:rsidRDefault="000A535A" w:rsidP="00592E4A">
      <w:pPr>
        <w:jc w:val="both"/>
        <w:rPr>
          <w:b/>
          <w:lang w:val="en-US"/>
        </w:rPr>
      </w:pPr>
      <w:r>
        <w:rPr>
          <w:b/>
          <w:lang w:val="en-US"/>
        </w:rPr>
        <w:t xml:space="preserve">Introduction </w:t>
      </w:r>
    </w:p>
    <w:p w:rsidR="000A535A" w:rsidRDefault="000A535A" w:rsidP="00592E4A">
      <w:pPr>
        <w:jc w:val="both"/>
        <w:rPr>
          <w:b/>
          <w:lang w:val="en-US"/>
        </w:rPr>
      </w:pPr>
    </w:p>
    <w:p w:rsidR="007D3599" w:rsidRDefault="007D3599" w:rsidP="00592E4A">
      <w:pPr>
        <w:jc w:val="both"/>
        <w:rPr>
          <w:lang w:val="en-US"/>
        </w:rPr>
      </w:pPr>
      <w:r>
        <w:rPr>
          <w:lang w:val="en-US"/>
        </w:rPr>
        <w:t>This paper intends to present a brief summary of the state of current reforms</w:t>
      </w:r>
      <w:r w:rsidR="00557BE2">
        <w:rPr>
          <w:lang w:val="en-US"/>
        </w:rPr>
        <w:t xml:space="preserve"> to the civil justice systems</w:t>
      </w:r>
      <w:r>
        <w:rPr>
          <w:lang w:val="en-US"/>
        </w:rPr>
        <w:t xml:space="preserve"> in Latin America.</w:t>
      </w:r>
      <w:r w:rsidRPr="007D3599">
        <w:rPr>
          <w:rStyle w:val="Refdenotaalpie"/>
          <w:lang w:val="en-US"/>
        </w:rPr>
        <w:footnoteReference w:id="2"/>
      </w:r>
      <w:r w:rsidR="00557BE2">
        <w:rPr>
          <w:lang w:val="en-US"/>
        </w:rPr>
        <w:t xml:space="preserve"> First, some current statistics in the region will be evaluated with regards to civil proceedings. Second, the types of reforms initiated in the region will be discussed. </w:t>
      </w:r>
      <w:r w:rsidR="00322A11">
        <w:rPr>
          <w:lang w:val="en-US"/>
        </w:rPr>
        <w:t xml:space="preserve">Finally, suggestions for the ongoing reforms to civil justice systems will be introduced. </w:t>
      </w:r>
    </w:p>
    <w:p w:rsidR="000A535A" w:rsidRDefault="000A535A" w:rsidP="00592E4A">
      <w:pPr>
        <w:jc w:val="both"/>
        <w:rPr>
          <w:b/>
          <w:lang w:val="en-US"/>
        </w:rPr>
      </w:pPr>
    </w:p>
    <w:p w:rsidR="007D3599" w:rsidRDefault="007D3599" w:rsidP="00592E4A">
      <w:pPr>
        <w:pStyle w:val="Prrafodelista"/>
        <w:numPr>
          <w:ilvl w:val="0"/>
          <w:numId w:val="3"/>
        </w:numPr>
        <w:jc w:val="both"/>
        <w:rPr>
          <w:b/>
          <w:lang w:val="en-US"/>
        </w:rPr>
      </w:pPr>
      <w:r>
        <w:rPr>
          <w:b/>
          <w:lang w:val="en-US"/>
        </w:rPr>
        <w:t xml:space="preserve">Current </w:t>
      </w:r>
      <w:r w:rsidR="00831275">
        <w:rPr>
          <w:b/>
          <w:lang w:val="en-US"/>
        </w:rPr>
        <w:t xml:space="preserve">civil justice </w:t>
      </w:r>
      <w:r>
        <w:rPr>
          <w:b/>
          <w:lang w:val="en-US"/>
        </w:rPr>
        <w:t>figures</w:t>
      </w:r>
      <w:r w:rsidR="00831275">
        <w:rPr>
          <w:b/>
          <w:lang w:val="en-US"/>
        </w:rPr>
        <w:t xml:space="preserve"> in the Americas</w:t>
      </w:r>
    </w:p>
    <w:p w:rsidR="007D3599" w:rsidRDefault="007D3599" w:rsidP="00592E4A">
      <w:pPr>
        <w:jc w:val="both"/>
        <w:rPr>
          <w:b/>
          <w:lang w:val="en-US"/>
        </w:rPr>
      </w:pPr>
    </w:p>
    <w:p w:rsidR="00831275" w:rsidRDefault="00831275" w:rsidP="00592E4A">
      <w:pPr>
        <w:jc w:val="both"/>
        <w:rPr>
          <w:lang w:val="en-US"/>
        </w:rPr>
      </w:pPr>
      <w:r>
        <w:rPr>
          <w:lang w:val="en-US"/>
        </w:rPr>
        <w:t>Civil justice, historically conceived as all that which is not penal, centers around highly varied disputes and internal procedures (family, labor, social security, land, agriculture, commerce, bankruptcy, administrative litigation, registration and the civil status of persons, among others). In Latin America, in countries with a continental European legal tradition as well as in those with a tradition of common law and those with unique distinctions within both traditions, civil justice for the most part concentrates on the aforementioned matters. However, due to civil justice reform processes initiated in various countries in the region during recent decades, it is not currently possible to homogenize that which is considered civil justice in the different judicial systems in the Americas.</w:t>
      </w:r>
    </w:p>
    <w:p w:rsidR="00831275" w:rsidRDefault="00831275" w:rsidP="00592E4A">
      <w:pPr>
        <w:jc w:val="both"/>
        <w:rPr>
          <w:lang w:val="en-US"/>
        </w:rPr>
      </w:pPr>
    </w:p>
    <w:p w:rsidR="00831275" w:rsidRDefault="00831275" w:rsidP="00592E4A">
      <w:pPr>
        <w:jc w:val="both"/>
        <w:rPr>
          <w:lang w:val="en-US"/>
        </w:rPr>
      </w:pPr>
      <w:r>
        <w:rPr>
          <w:lang w:val="en-US"/>
        </w:rPr>
        <w:t xml:space="preserve">In spite of this, it can generally be said that criminal cases, constitutional cases resolved in specialized courts, and usually administrative litigation cases are not included in civil justice. A wide understanding of civil justice is comprised of issues that pertain to labor, social security, family, and others. A more narrow understanding includes disputes derived from existing civil and commercial relationships between people. (Public entities are usually omitted but with exceptions in some countries.) Moreover, it is comprised of civil procedural law that </w:t>
      </w:r>
      <w:r w:rsidR="00F71EB4">
        <w:rPr>
          <w:lang w:val="en-US"/>
        </w:rPr>
        <w:t>addresses</w:t>
      </w:r>
      <w:r>
        <w:rPr>
          <w:lang w:val="en-US"/>
        </w:rPr>
        <w:t xml:space="preserve"> substantive civil matters.</w:t>
      </w:r>
    </w:p>
    <w:p w:rsidR="00831275" w:rsidRDefault="00831275" w:rsidP="00592E4A">
      <w:pPr>
        <w:jc w:val="both"/>
        <w:rPr>
          <w:lang w:val="en-US"/>
        </w:rPr>
      </w:pPr>
    </w:p>
    <w:p w:rsidR="00831275" w:rsidRDefault="00831275" w:rsidP="00592E4A">
      <w:pPr>
        <w:jc w:val="both"/>
        <w:rPr>
          <w:lang w:val="en-US"/>
        </w:rPr>
      </w:pPr>
      <w:r>
        <w:rPr>
          <w:lang w:val="en-US"/>
        </w:rPr>
        <w:lastRenderedPageBreak/>
        <w:t>The weight of civil justice in the region is difficult to measure due to its lack of uniformity.  Not only do different areas of specialization exist in the countries of the region, but also different forms of judicial organization and statistical records</w:t>
      </w:r>
      <w:r w:rsidR="00F71EB4">
        <w:rPr>
          <w:lang w:val="en-US"/>
        </w:rPr>
        <w:t xml:space="preserve"> exist.</w:t>
      </w:r>
      <w:r>
        <w:rPr>
          <w:lang w:val="en-US"/>
        </w:rPr>
        <w:t xml:space="preserve"> For example, in some countries, civil case</w:t>
      </w:r>
      <w:r w:rsidR="00F71EB4">
        <w:rPr>
          <w:lang w:val="en-US"/>
        </w:rPr>
        <w:t xml:space="preserve">s—defined in the narrow sense—that </w:t>
      </w:r>
      <w:r>
        <w:rPr>
          <w:lang w:val="en-US"/>
        </w:rPr>
        <w:t>are resolved by judges w</w:t>
      </w:r>
      <w:r w:rsidR="00F71EB4">
        <w:rPr>
          <w:lang w:val="en-US"/>
        </w:rPr>
        <w:t xml:space="preserve">ith multiple competences (e.g., mixed, </w:t>
      </w:r>
      <w:r>
        <w:rPr>
          <w:lang w:val="en-US"/>
        </w:rPr>
        <w:t>of the peace) are not diffe</w:t>
      </w:r>
      <w:r w:rsidR="00F71EB4">
        <w:rPr>
          <w:lang w:val="en-US"/>
        </w:rPr>
        <w:t>rentiated statistically.</w:t>
      </w:r>
      <w:r>
        <w:rPr>
          <w:lang w:val="en-US"/>
        </w:rPr>
        <w:t xml:space="preserve"> Rather they are aggregated in general statistics as having been resolved by those judges (El </w:t>
      </w:r>
      <w:r w:rsidR="00F71EB4">
        <w:rPr>
          <w:lang w:val="en-US"/>
        </w:rPr>
        <w:t xml:space="preserve">Salvador, Honduras). </w:t>
      </w:r>
      <w:r>
        <w:rPr>
          <w:lang w:val="en-US"/>
        </w:rPr>
        <w:t>Another example is that, in some countries, non-civil cases resolved by civil judges who specialize in matters of protection or guardianship, for example, are registered as civil cases in the statistics (Colombia, Chile).</w:t>
      </w:r>
    </w:p>
    <w:p w:rsidR="00831275" w:rsidRDefault="00831275" w:rsidP="00592E4A">
      <w:pPr>
        <w:jc w:val="both"/>
        <w:rPr>
          <w:lang w:val="en-US"/>
        </w:rPr>
      </w:pPr>
    </w:p>
    <w:p w:rsidR="00831275" w:rsidRDefault="00831275" w:rsidP="00592E4A">
      <w:pPr>
        <w:jc w:val="both"/>
        <w:rPr>
          <w:lang w:val="en-US"/>
        </w:rPr>
      </w:pPr>
      <w:r>
        <w:rPr>
          <w:lang w:val="en-US"/>
        </w:rPr>
        <w:t>Given these consideration</w:t>
      </w:r>
      <w:r w:rsidR="00C56028">
        <w:rPr>
          <w:lang w:val="en-US"/>
        </w:rPr>
        <w:t>s</w:t>
      </w:r>
      <w:r>
        <w:rPr>
          <w:lang w:val="en-US"/>
        </w:rPr>
        <w:t xml:space="preserve">, some illustrative data about the importance of civil justice in the region can be mentioned. In a previous study, </w:t>
      </w:r>
      <w:r w:rsidR="00C56028">
        <w:rPr>
          <w:lang w:val="en-US"/>
        </w:rPr>
        <w:t>the Justice Studies Center of the Americas (“</w:t>
      </w:r>
      <w:r>
        <w:rPr>
          <w:lang w:val="en-US"/>
        </w:rPr>
        <w:t>JSCA</w:t>
      </w:r>
      <w:r w:rsidR="00C56028">
        <w:rPr>
          <w:lang w:val="en-US"/>
        </w:rPr>
        <w:t>”)</w:t>
      </w:r>
      <w:r>
        <w:rPr>
          <w:lang w:val="en-US"/>
        </w:rPr>
        <w:t xml:space="preserve"> reported that in 2005 specialized civil justice cases</w:t>
      </w:r>
      <w:r>
        <w:rPr>
          <w:rStyle w:val="Refdenotaalpie"/>
          <w:lang w:val="en-US"/>
        </w:rPr>
        <w:footnoteReference w:id="3"/>
      </w:r>
      <w:r>
        <w:rPr>
          <w:lang w:val="en-US"/>
        </w:rPr>
        <w:t xml:space="preserve"> in the region, (those decided by specialized civil judges or by those registered as such in the statistics), oscillated between 9% and 54% of </w:t>
      </w:r>
      <w:r w:rsidR="00846D4D">
        <w:rPr>
          <w:lang w:val="en-US"/>
        </w:rPr>
        <w:t xml:space="preserve">all cases filed. </w:t>
      </w:r>
      <w:r>
        <w:rPr>
          <w:lang w:val="en-US"/>
        </w:rPr>
        <w:t>The countries that reported the highest rates were Puerto Rico (54%), Argentina (47%), Ecuador (47%) and Chile (47%), while those that reported the lowest rates were El Salvador (9%), Guatemala (9%) and Costa Rica (13%).</w:t>
      </w:r>
    </w:p>
    <w:p w:rsidR="00831275" w:rsidRDefault="00831275" w:rsidP="00592E4A">
      <w:pPr>
        <w:jc w:val="both"/>
        <w:rPr>
          <w:lang w:val="en-US"/>
        </w:rPr>
      </w:pPr>
    </w:p>
    <w:p w:rsidR="00831275" w:rsidRDefault="00831275" w:rsidP="00592E4A">
      <w:pPr>
        <w:jc w:val="both"/>
        <w:rPr>
          <w:lang w:val="en-US"/>
        </w:rPr>
      </w:pPr>
      <w:r>
        <w:rPr>
          <w:lang w:val="en-US"/>
        </w:rPr>
        <w:t>However, one should not lose sight of factors that impact the variation in the relative weight of civil justice</w:t>
      </w:r>
      <w:r w:rsidR="0084540A">
        <w:rPr>
          <w:lang w:val="en-US"/>
        </w:rPr>
        <w:t xml:space="preserve"> in the region</w:t>
      </w:r>
      <w:r>
        <w:rPr>
          <w:lang w:val="en-US"/>
        </w:rPr>
        <w:t>: the matters included therein and the statistical record. For example, the majority of the region’s countries separate family and labor law and administrative litigation from the area of specialized civil justice, whereby they are not c</w:t>
      </w:r>
      <w:r w:rsidR="0084540A">
        <w:rPr>
          <w:lang w:val="en-US"/>
        </w:rPr>
        <w:t xml:space="preserve">onsidered in civil statistics. </w:t>
      </w:r>
      <w:r>
        <w:rPr>
          <w:lang w:val="en-US"/>
        </w:rPr>
        <w:t>But other countries had not made family law independent until the end of 2005 (</w:t>
      </w:r>
      <w:r w:rsidR="0084540A">
        <w:rPr>
          <w:lang w:val="en-US"/>
        </w:rPr>
        <w:t xml:space="preserve">e.g., </w:t>
      </w:r>
      <w:r>
        <w:rPr>
          <w:lang w:val="en-US"/>
        </w:rPr>
        <w:t>Chile) or have not separated administrative litigation (</w:t>
      </w:r>
      <w:r w:rsidR="0084540A">
        <w:rPr>
          <w:lang w:val="en-US"/>
        </w:rPr>
        <w:t xml:space="preserve">e.g., </w:t>
      </w:r>
      <w:r>
        <w:rPr>
          <w:lang w:val="en-US"/>
        </w:rPr>
        <w:t>Bolivia, Chile), whereby their measures of civil justic</w:t>
      </w:r>
      <w:r w:rsidR="00846D4D">
        <w:rPr>
          <w:lang w:val="en-US"/>
        </w:rPr>
        <w:t>e included these cases in 2005.</w:t>
      </w:r>
      <w:r>
        <w:rPr>
          <w:lang w:val="en-US"/>
        </w:rPr>
        <w:t xml:space="preserve"> Another example is that constitutional actions resolved by specialized civil judges are registered as “filed civil causes,” although in a strict understanding of civil justice they are not (</w:t>
      </w:r>
      <w:r w:rsidR="0084540A">
        <w:rPr>
          <w:lang w:val="en-US"/>
        </w:rPr>
        <w:t xml:space="preserve">e.g., </w:t>
      </w:r>
      <w:r>
        <w:rPr>
          <w:lang w:val="en-US"/>
        </w:rPr>
        <w:t>Chile, Colombia, Honduras, Panama, the Dom</w:t>
      </w:r>
      <w:r w:rsidR="0084540A">
        <w:rPr>
          <w:lang w:val="en-US"/>
        </w:rPr>
        <w:t xml:space="preserve">inican Republic, and Uruguay). </w:t>
      </w:r>
      <w:r>
        <w:rPr>
          <w:lang w:val="en-US"/>
        </w:rPr>
        <w:t>A third example is that, in several countries, some matters appropriately considered civil are not recorded as such (</w:t>
      </w:r>
      <w:r w:rsidR="0084540A">
        <w:rPr>
          <w:lang w:val="en-US"/>
        </w:rPr>
        <w:t xml:space="preserve">e.g., </w:t>
      </w:r>
      <w:r>
        <w:rPr>
          <w:lang w:val="en-US"/>
        </w:rPr>
        <w:t>tenancy law in El Salvador and Honduras; agricultural and land law in Bolivia, Costa Rica and the Dominican Republic; and commercial law in Peru, among others).</w:t>
      </w:r>
    </w:p>
    <w:p w:rsidR="00831275" w:rsidRDefault="00831275" w:rsidP="00592E4A">
      <w:pPr>
        <w:jc w:val="both"/>
        <w:rPr>
          <w:lang w:val="en-US"/>
        </w:rPr>
      </w:pPr>
    </w:p>
    <w:p w:rsidR="00831275" w:rsidRDefault="00961953" w:rsidP="00592E4A">
      <w:pPr>
        <w:jc w:val="both"/>
        <w:rPr>
          <w:lang w:val="en-US"/>
        </w:rPr>
      </w:pPr>
      <w:r>
        <w:rPr>
          <w:lang w:val="en-US"/>
        </w:rPr>
        <w:t>A</w:t>
      </w:r>
      <w:r w:rsidR="00831275">
        <w:rPr>
          <w:lang w:val="en-US"/>
        </w:rPr>
        <w:t xml:space="preserve"> rigorous analysis of the high and low rates of civil litigation in the region must consider the following for each index: the disaggregation of the type and quantity of issues considered independent of civil justice; strictly civil matters heard by specialized judges; civil matters resolved by judges with multiple competences; and the form of statistical record.</w:t>
      </w:r>
    </w:p>
    <w:p w:rsidR="00D46014" w:rsidRDefault="00D46014" w:rsidP="00592E4A">
      <w:pPr>
        <w:jc w:val="both"/>
        <w:rPr>
          <w:lang w:val="en-US"/>
        </w:rPr>
      </w:pPr>
    </w:p>
    <w:p w:rsidR="00D46014" w:rsidRDefault="00D46014" w:rsidP="00592E4A">
      <w:pPr>
        <w:jc w:val="both"/>
        <w:rPr>
          <w:lang w:val="en-US"/>
        </w:rPr>
      </w:pPr>
    </w:p>
    <w:p w:rsidR="00322A11" w:rsidRDefault="00831275" w:rsidP="00322A11">
      <w:pPr>
        <w:jc w:val="center"/>
        <w:rPr>
          <w:b/>
          <w:lang w:val="en-US"/>
        </w:rPr>
      </w:pPr>
      <w:proofErr w:type="gramStart"/>
      <w:r>
        <w:rPr>
          <w:b/>
          <w:lang w:val="en-US"/>
        </w:rPr>
        <w:t>Table</w:t>
      </w:r>
      <w:r w:rsidRPr="005225E3">
        <w:rPr>
          <w:b/>
          <w:lang w:val="en-US"/>
        </w:rPr>
        <w:t xml:space="preserve"> 1</w:t>
      </w:r>
      <w:r>
        <w:rPr>
          <w:b/>
          <w:lang w:val="en-US"/>
        </w:rPr>
        <w:t>.</w:t>
      </w:r>
      <w:proofErr w:type="gramEnd"/>
    </w:p>
    <w:p w:rsidR="00831275" w:rsidRPr="00322A11" w:rsidRDefault="00322A11" w:rsidP="00322A11">
      <w:pPr>
        <w:jc w:val="center"/>
        <w:rPr>
          <w:lang w:val="en-US"/>
        </w:rPr>
      </w:pPr>
      <w:r>
        <w:rPr>
          <w:lang w:val="en-US"/>
        </w:rPr>
        <w:t>Civil litigation index</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0"/>
        <w:gridCol w:w="2180"/>
        <w:gridCol w:w="2180"/>
        <w:gridCol w:w="2180"/>
      </w:tblGrid>
      <w:tr w:rsidR="00831275" w:rsidRPr="00196444">
        <w:tc>
          <w:tcPr>
            <w:tcW w:w="2180" w:type="dxa"/>
          </w:tcPr>
          <w:p w:rsidR="00831275" w:rsidRPr="007A1B41" w:rsidRDefault="00831275" w:rsidP="00592E4A">
            <w:pPr>
              <w:jc w:val="both"/>
              <w:rPr>
                <w:b/>
                <w:lang w:val="en-US"/>
              </w:rPr>
            </w:pPr>
            <w:r w:rsidRPr="007A1B41">
              <w:rPr>
                <w:b/>
                <w:lang w:val="en-US"/>
              </w:rPr>
              <w:t>Country</w:t>
            </w:r>
          </w:p>
        </w:tc>
        <w:tc>
          <w:tcPr>
            <w:tcW w:w="2180" w:type="dxa"/>
          </w:tcPr>
          <w:p w:rsidR="00831275" w:rsidRPr="007A1B41" w:rsidRDefault="00831275" w:rsidP="00592E4A">
            <w:pPr>
              <w:jc w:val="both"/>
              <w:rPr>
                <w:b/>
                <w:lang w:val="en-US"/>
              </w:rPr>
            </w:pPr>
            <w:r w:rsidRPr="007A1B41">
              <w:rPr>
                <w:b/>
                <w:lang w:val="en-US"/>
              </w:rPr>
              <w:t>Civil cases filed per 100,000</w:t>
            </w:r>
          </w:p>
        </w:tc>
        <w:tc>
          <w:tcPr>
            <w:tcW w:w="2180" w:type="dxa"/>
          </w:tcPr>
          <w:p w:rsidR="00831275" w:rsidRPr="007A1B41" w:rsidRDefault="00831275" w:rsidP="00592E4A">
            <w:pPr>
              <w:jc w:val="both"/>
              <w:rPr>
                <w:b/>
                <w:lang w:val="en-US"/>
              </w:rPr>
            </w:pPr>
            <w:r w:rsidRPr="007A1B41">
              <w:rPr>
                <w:b/>
                <w:lang w:val="en-US"/>
              </w:rPr>
              <w:t>Total cases filed per 100,000</w:t>
            </w:r>
          </w:p>
        </w:tc>
        <w:tc>
          <w:tcPr>
            <w:tcW w:w="2180" w:type="dxa"/>
          </w:tcPr>
          <w:p w:rsidR="00831275" w:rsidRPr="007A1B41" w:rsidRDefault="00831275" w:rsidP="00592E4A">
            <w:pPr>
              <w:jc w:val="both"/>
              <w:rPr>
                <w:b/>
                <w:lang w:val="en-US"/>
              </w:rPr>
            </w:pPr>
            <w:r w:rsidRPr="007A1B41">
              <w:rPr>
                <w:b/>
                <w:lang w:val="en-US"/>
              </w:rPr>
              <w:t>Civil litigation as a percentage of the general index</w:t>
            </w:r>
          </w:p>
        </w:tc>
      </w:tr>
      <w:tr w:rsidR="00831275" w:rsidRPr="007A1B41">
        <w:tc>
          <w:tcPr>
            <w:tcW w:w="2180" w:type="dxa"/>
          </w:tcPr>
          <w:p w:rsidR="00831275" w:rsidRPr="007A1B41" w:rsidRDefault="00831275" w:rsidP="001E321A">
            <w:pPr>
              <w:jc w:val="both"/>
              <w:rPr>
                <w:lang w:val="en-US"/>
              </w:rPr>
            </w:pPr>
            <w:r w:rsidRPr="007A1B41">
              <w:rPr>
                <w:lang w:val="en-US"/>
              </w:rPr>
              <w:t>Argentina</w:t>
            </w:r>
            <w:r w:rsidR="00EC148A">
              <w:rPr>
                <w:lang w:val="en-US"/>
              </w:rPr>
              <w:t>*</w:t>
            </w:r>
          </w:p>
        </w:tc>
        <w:tc>
          <w:tcPr>
            <w:tcW w:w="2180" w:type="dxa"/>
          </w:tcPr>
          <w:p w:rsidR="00831275" w:rsidRPr="007A1B41" w:rsidRDefault="00E27596" w:rsidP="00E27596">
            <w:pPr>
              <w:jc w:val="both"/>
              <w:rPr>
                <w:lang w:val="en-US"/>
              </w:rPr>
            </w:pPr>
            <w:r>
              <w:rPr>
                <w:lang w:val="en-US"/>
              </w:rPr>
              <w:t>392</w:t>
            </w:r>
          </w:p>
        </w:tc>
        <w:tc>
          <w:tcPr>
            <w:tcW w:w="2180" w:type="dxa"/>
          </w:tcPr>
          <w:p w:rsidR="00831275" w:rsidRPr="007A1B41" w:rsidRDefault="00E27596" w:rsidP="00592E4A">
            <w:pPr>
              <w:jc w:val="both"/>
              <w:rPr>
                <w:lang w:val="en-US"/>
              </w:rPr>
            </w:pPr>
            <w:r>
              <w:rPr>
                <w:lang w:val="en-US"/>
              </w:rPr>
              <w:t>2,572</w:t>
            </w:r>
          </w:p>
        </w:tc>
        <w:tc>
          <w:tcPr>
            <w:tcW w:w="2180" w:type="dxa"/>
          </w:tcPr>
          <w:p w:rsidR="00831275" w:rsidRPr="007A1B41" w:rsidRDefault="00E27596" w:rsidP="00592E4A">
            <w:pPr>
              <w:jc w:val="both"/>
              <w:rPr>
                <w:lang w:val="en-US"/>
              </w:rPr>
            </w:pPr>
            <w:r>
              <w:rPr>
                <w:lang w:val="en-US"/>
              </w:rPr>
              <w:t>15.2</w:t>
            </w:r>
          </w:p>
        </w:tc>
      </w:tr>
      <w:tr w:rsidR="00831275" w:rsidRPr="007A1B41">
        <w:tc>
          <w:tcPr>
            <w:tcW w:w="2180" w:type="dxa"/>
          </w:tcPr>
          <w:p w:rsidR="00831275" w:rsidRPr="007A1B41" w:rsidRDefault="00831275" w:rsidP="00592E4A">
            <w:pPr>
              <w:jc w:val="both"/>
              <w:rPr>
                <w:lang w:val="en-US"/>
              </w:rPr>
            </w:pPr>
            <w:r w:rsidRPr="007A1B41">
              <w:rPr>
                <w:lang w:val="en-US"/>
              </w:rPr>
              <w:lastRenderedPageBreak/>
              <w:t>Belize</w:t>
            </w:r>
          </w:p>
        </w:tc>
        <w:tc>
          <w:tcPr>
            <w:tcW w:w="2180" w:type="dxa"/>
          </w:tcPr>
          <w:p w:rsidR="00831275" w:rsidRPr="007A1B41" w:rsidRDefault="00831275" w:rsidP="00592E4A">
            <w:pPr>
              <w:jc w:val="both"/>
              <w:rPr>
                <w:lang w:val="en-US"/>
              </w:rPr>
            </w:pPr>
            <w:r>
              <w:rPr>
                <w:lang w:val="en-US"/>
              </w:rPr>
              <w:t>1,526</w:t>
            </w:r>
          </w:p>
        </w:tc>
        <w:tc>
          <w:tcPr>
            <w:tcW w:w="2180" w:type="dxa"/>
          </w:tcPr>
          <w:p w:rsidR="00831275" w:rsidRPr="007A1B41" w:rsidRDefault="00831275" w:rsidP="00592E4A">
            <w:pPr>
              <w:jc w:val="both"/>
              <w:rPr>
                <w:lang w:val="en-US"/>
              </w:rPr>
            </w:pPr>
            <w:r>
              <w:rPr>
                <w:lang w:val="en-US"/>
              </w:rPr>
              <w:t>6,533</w:t>
            </w:r>
          </w:p>
        </w:tc>
        <w:tc>
          <w:tcPr>
            <w:tcW w:w="2180" w:type="dxa"/>
          </w:tcPr>
          <w:p w:rsidR="00831275" w:rsidRPr="007A1B41" w:rsidRDefault="00831275" w:rsidP="00592E4A">
            <w:pPr>
              <w:jc w:val="both"/>
              <w:rPr>
                <w:lang w:val="en-US"/>
              </w:rPr>
            </w:pPr>
            <w:r>
              <w:rPr>
                <w:lang w:val="en-US"/>
              </w:rPr>
              <w:t>23.4</w:t>
            </w:r>
          </w:p>
        </w:tc>
      </w:tr>
      <w:tr w:rsidR="00831275" w:rsidRPr="007A1B41">
        <w:tc>
          <w:tcPr>
            <w:tcW w:w="2180" w:type="dxa"/>
          </w:tcPr>
          <w:p w:rsidR="00831275" w:rsidRPr="007A1B41" w:rsidRDefault="00831275" w:rsidP="001E321A">
            <w:pPr>
              <w:jc w:val="both"/>
              <w:rPr>
                <w:lang w:val="en-US"/>
              </w:rPr>
            </w:pPr>
            <w:r w:rsidRPr="007A1B41">
              <w:rPr>
                <w:lang w:val="en-US"/>
              </w:rPr>
              <w:t>Bolivia</w:t>
            </w:r>
          </w:p>
        </w:tc>
        <w:tc>
          <w:tcPr>
            <w:tcW w:w="2180" w:type="dxa"/>
          </w:tcPr>
          <w:p w:rsidR="00831275" w:rsidRPr="007A1B41" w:rsidRDefault="00E27596" w:rsidP="00592E4A">
            <w:pPr>
              <w:jc w:val="both"/>
              <w:rPr>
                <w:lang w:val="en-US"/>
              </w:rPr>
            </w:pPr>
            <w:r>
              <w:rPr>
                <w:lang w:val="en-US"/>
              </w:rPr>
              <w:t>1,676</w:t>
            </w:r>
          </w:p>
        </w:tc>
        <w:tc>
          <w:tcPr>
            <w:tcW w:w="2180" w:type="dxa"/>
          </w:tcPr>
          <w:p w:rsidR="00831275" w:rsidRPr="007A1B41" w:rsidRDefault="00E27596" w:rsidP="00592E4A">
            <w:pPr>
              <w:jc w:val="both"/>
              <w:rPr>
                <w:lang w:val="en-US"/>
              </w:rPr>
            </w:pPr>
            <w:r>
              <w:rPr>
                <w:lang w:val="en-US"/>
              </w:rPr>
              <w:t>4,385</w:t>
            </w:r>
          </w:p>
        </w:tc>
        <w:tc>
          <w:tcPr>
            <w:tcW w:w="2180" w:type="dxa"/>
          </w:tcPr>
          <w:p w:rsidR="00831275" w:rsidRPr="007A1B41" w:rsidRDefault="00E27596" w:rsidP="00592E4A">
            <w:pPr>
              <w:jc w:val="both"/>
              <w:rPr>
                <w:lang w:val="en-US"/>
              </w:rPr>
            </w:pPr>
            <w:r>
              <w:rPr>
                <w:lang w:val="en-US"/>
              </w:rPr>
              <w:t>38.2</w:t>
            </w:r>
          </w:p>
        </w:tc>
      </w:tr>
      <w:tr w:rsidR="00831275" w:rsidRPr="007A1B41">
        <w:tc>
          <w:tcPr>
            <w:tcW w:w="2180" w:type="dxa"/>
          </w:tcPr>
          <w:p w:rsidR="00831275" w:rsidRPr="007A1B41" w:rsidRDefault="00831275" w:rsidP="001E321A">
            <w:pPr>
              <w:jc w:val="both"/>
              <w:rPr>
                <w:lang w:val="en-US"/>
              </w:rPr>
            </w:pPr>
            <w:r w:rsidRPr="007A1B41">
              <w:rPr>
                <w:lang w:val="en-US"/>
              </w:rPr>
              <w:t>Eastern Caribbean</w:t>
            </w:r>
          </w:p>
        </w:tc>
        <w:tc>
          <w:tcPr>
            <w:tcW w:w="2180" w:type="dxa"/>
          </w:tcPr>
          <w:p w:rsidR="00831275" w:rsidRPr="007A1B41" w:rsidRDefault="00E27596" w:rsidP="00592E4A">
            <w:pPr>
              <w:jc w:val="both"/>
              <w:rPr>
                <w:lang w:val="en-US"/>
              </w:rPr>
            </w:pPr>
            <w:r>
              <w:rPr>
                <w:lang w:val="en-US"/>
              </w:rPr>
              <w:t>1,477</w:t>
            </w:r>
          </w:p>
        </w:tc>
        <w:tc>
          <w:tcPr>
            <w:tcW w:w="2180" w:type="dxa"/>
          </w:tcPr>
          <w:p w:rsidR="00831275" w:rsidRPr="007A1B41" w:rsidRDefault="00E27596" w:rsidP="00592E4A">
            <w:pPr>
              <w:jc w:val="both"/>
              <w:rPr>
                <w:lang w:val="en-US"/>
              </w:rPr>
            </w:pPr>
            <w:r>
              <w:rPr>
                <w:lang w:val="en-US"/>
              </w:rPr>
              <w:t>5,078</w:t>
            </w:r>
          </w:p>
        </w:tc>
        <w:tc>
          <w:tcPr>
            <w:tcW w:w="2180" w:type="dxa"/>
          </w:tcPr>
          <w:p w:rsidR="00831275" w:rsidRPr="007A1B41" w:rsidRDefault="00E27596" w:rsidP="00592E4A">
            <w:pPr>
              <w:jc w:val="both"/>
              <w:rPr>
                <w:lang w:val="en-US"/>
              </w:rPr>
            </w:pPr>
            <w:r>
              <w:rPr>
                <w:lang w:val="en-US"/>
              </w:rPr>
              <w:t>29.1</w:t>
            </w:r>
          </w:p>
        </w:tc>
      </w:tr>
      <w:tr w:rsidR="00831275" w:rsidRPr="007A1B41">
        <w:tc>
          <w:tcPr>
            <w:tcW w:w="2180" w:type="dxa"/>
          </w:tcPr>
          <w:p w:rsidR="00831275" w:rsidRPr="007A1B41" w:rsidRDefault="00831275" w:rsidP="00592E4A">
            <w:pPr>
              <w:jc w:val="both"/>
              <w:rPr>
                <w:lang w:val="en-US"/>
              </w:rPr>
            </w:pPr>
            <w:r w:rsidRPr="007A1B41">
              <w:rPr>
                <w:lang w:val="en-US"/>
              </w:rPr>
              <w:t>Colombia</w:t>
            </w:r>
          </w:p>
        </w:tc>
        <w:tc>
          <w:tcPr>
            <w:tcW w:w="2180" w:type="dxa"/>
          </w:tcPr>
          <w:p w:rsidR="00831275" w:rsidRPr="007A1B41" w:rsidRDefault="00831275" w:rsidP="00592E4A">
            <w:pPr>
              <w:jc w:val="both"/>
              <w:rPr>
                <w:lang w:val="en-US"/>
              </w:rPr>
            </w:pPr>
            <w:r>
              <w:rPr>
                <w:lang w:val="en-US"/>
              </w:rPr>
              <w:t>1,242</w:t>
            </w:r>
          </w:p>
        </w:tc>
        <w:tc>
          <w:tcPr>
            <w:tcW w:w="2180" w:type="dxa"/>
          </w:tcPr>
          <w:p w:rsidR="00831275" w:rsidRPr="007A1B41" w:rsidRDefault="00831275" w:rsidP="00592E4A">
            <w:pPr>
              <w:jc w:val="both"/>
              <w:rPr>
                <w:lang w:val="en-US"/>
              </w:rPr>
            </w:pPr>
            <w:r>
              <w:rPr>
                <w:lang w:val="en-US"/>
              </w:rPr>
              <w:t>3,162</w:t>
            </w:r>
          </w:p>
        </w:tc>
        <w:tc>
          <w:tcPr>
            <w:tcW w:w="2180" w:type="dxa"/>
          </w:tcPr>
          <w:p w:rsidR="00831275" w:rsidRPr="007A1B41" w:rsidRDefault="00831275" w:rsidP="00592E4A">
            <w:pPr>
              <w:jc w:val="both"/>
              <w:rPr>
                <w:lang w:val="en-US"/>
              </w:rPr>
            </w:pPr>
            <w:r>
              <w:rPr>
                <w:lang w:val="en-US"/>
              </w:rPr>
              <w:t>39.3</w:t>
            </w:r>
          </w:p>
        </w:tc>
      </w:tr>
      <w:tr w:rsidR="00831275" w:rsidRPr="007A1B41">
        <w:tc>
          <w:tcPr>
            <w:tcW w:w="2180" w:type="dxa"/>
          </w:tcPr>
          <w:p w:rsidR="00831275" w:rsidRPr="007A1B41" w:rsidRDefault="00831275" w:rsidP="00592E4A">
            <w:pPr>
              <w:jc w:val="both"/>
              <w:rPr>
                <w:lang w:val="en-US"/>
              </w:rPr>
            </w:pPr>
            <w:r w:rsidRPr="007A1B41">
              <w:rPr>
                <w:lang w:val="en-US"/>
              </w:rPr>
              <w:t>Costa Rica</w:t>
            </w:r>
          </w:p>
        </w:tc>
        <w:tc>
          <w:tcPr>
            <w:tcW w:w="2180" w:type="dxa"/>
          </w:tcPr>
          <w:p w:rsidR="00831275" w:rsidRPr="007A1B41" w:rsidRDefault="00831275" w:rsidP="00592E4A">
            <w:pPr>
              <w:jc w:val="both"/>
              <w:rPr>
                <w:lang w:val="en-US"/>
              </w:rPr>
            </w:pPr>
            <w:r>
              <w:rPr>
                <w:lang w:val="en-US"/>
              </w:rPr>
              <w:t>2,342</w:t>
            </w:r>
          </w:p>
        </w:tc>
        <w:tc>
          <w:tcPr>
            <w:tcW w:w="2180" w:type="dxa"/>
          </w:tcPr>
          <w:p w:rsidR="00831275" w:rsidRPr="007A1B41" w:rsidRDefault="00831275" w:rsidP="00592E4A">
            <w:pPr>
              <w:jc w:val="both"/>
              <w:rPr>
                <w:lang w:val="en-US"/>
              </w:rPr>
            </w:pPr>
            <w:r>
              <w:rPr>
                <w:lang w:val="en-US"/>
              </w:rPr>
              <w:t>14,647</w:t>
            </w:r>
          </w:p>
        </w:tc>
        <w:tc>
          <w:tcPr>
            <w:tcW w:w="2180" w:type="dxa"/>
          </w:tcPr>
          <w:p w:rsidR="00831275" w:rsidRPr="007A1B41" w:rsidRDefault="00831275" w:rsidP="00592E4A">
            <w:pPr>
              <w:jc w:val="both"/>
              <w:rPr>
                <w:lang w:val="en-US"/>
              </w:rPr>
            </w:pPr>
            <w:r>
              <w:rPr>
                <w:lang w:val="en-US"/>
              </w:rPr>
              <w:t>16.0</w:t>
            </w:r>
          </w:p>
        </w:tc>
      </w:tr>
      <w:tr w:rsidR="00831275" w:rsidRPr="007A1B41">
        <w:tc>
          <w:tcPr>
            <w:tcW w:w="2180" w:type="dxa"/>
          </w:tcPr>
          <w:p w:rsidR="00831275" w:rsidRPr="001F1B3C" w:rsidRDefault="00831275" w:rsidP="00592E4A">
            <w:pPr>
              <w:jc w:val="both"/>
              <w:rPr>
                <w:b/>
                <w:lang w:val="en-US"/>
              </w:rPr>
            </w:pPr>
            <w:r w:rsidRPr="001F1B3C">
              <w:rPr>
                <w:b/>
                <w:lang w:val="en-US"/>
              </w:rPr>
              <w:t>Chile</w:t>
            </w:r>
          </w:p>
        </w:tc>
        <w:tc>
          <w:tcPr>
            <w:tcW w:w="2180" w:type="dxa"/>
          </w:tcPr>
          <w:p w:rsidR="00831275" w:rsidRPr="001F1B3C" w:rsidRDefault="00831275" w:rsidP="00592E4A">
            <w:pPr>
              <w:jc w:val="both"/>
              <w:rPr>
                <w:b/>
                <w:lang w:val="en-US"/>
              </w:rPr>
            </w:pPr>
            <w:r w:rsidRPr="001F1B3C">
              <w:rPr>
                <w:b/>
                <w:lang w:val="en-US"/>
              </w:rPr>
              <w:t>10,046</w:t>
            </w:r>
          </w:p>
        </w:tc>
        <w:tc>
          <w:tcPr>
            <w:tcW w:w="2180" w:type="dxa"/>
          </w:tcPr>
          <w:p w:rsidR="00831275" w:rsidRPr="001F1B3C" w:rsidRDefault="00831275" w:rsidP="00592E4A">
            <w:pPr>
              <w:jc w:val="both"/>
              <w:rPr>
                <w:b/>
                <w:lang w:val="en-US"/>
              </w:rPr>
            </w:pPr>
            <w:r w:rsidRPr="001F1B3C">
              <w:rPr>
                <w:b/>
                <w:lang w:val="en-US"/>
              </w:rPr>
              <w:t>17,023</w:t>
            </w:r>
          </w:p>
        </w:tc>
        <w:tc>
          <w:tcPr>
            <w:tcW w:w="2180" w:type="dxa"/>
          </w:tcPr>
          <w:p w:rsidR="00831275" w:rsidRPr="001F1B3C" w:rsidRDefault="00831275" w:rsidP="00592E4A">
            <w:pPr>
              <w:jc w:val="both"/>
              <w:rPr>
                <w:b/>
                <w:lang w:val="en-US"/>
              </w:rPr>
            </w:pPr>
            <w:r w:rsidRPr="001F1B3C">
              <w:rPr>
                <w:b/>
                <w:lang w:val="en-US"/>
              </w:rPr>
              <w:t>59.0</w:t>
            </w:r>
          </w:p>
        </w:tc>
      </w:tr>
      <w:tr w:rsidR="00831275" w:rsidRPr="007A1B41">
        <w:tc>
          <w:tcPr>
            <w:tcW w:w="2180" w:type="dxa"/>
          </w:tcPr>
          <w:p w:rsidR="00831275" w:rsidRPr="007A1B41" w:rsidRDefault="00831275" w:rsidP="001E321A">
            <w:pPr>
              <w:jc w:val="both"/>
              <w:rPr>
                <w:lang w:val="en-US"/>
              </w:rPr>
            </w:pPr>
            <w:r w:rsidRPr="007A1B41">
              <w:rPr>
                <w:lang w:val="en-US"/>
              </w:rPr>
              <w:t>Ecuador</w:t>
            </w:r>
          </w:p>
        </w:tc>
        <w:tc>
          <w:tcPr>
            <w:tcW w:w="2180" w:type="dxa"/>
          </w:tcPr>
          <w:p w:rsidR="00831275" w:rsidRPr="007A1B41" w:rsidRDefault="00E27596" w:rsidP="00592E4A">
            <w:pPr>
              <w:jc w:val="both"/>
              <w:rPr>
                <w:lang w:val="en-US"/>
              </w:rPr>
            </w:pPr>
            <w:r>
              <w:rPr>
                <w:lang w:val="en-US"/>
              </w:rPr>
              <w:t>822</w:t>
            </w:r>
          </w:p>
        </w:tc>
        <w:tc>
          <w:tcPr>
            <w:tcW w:w="2180" w:type="dxa"/>
          </w:tcPr>
          <w:p w:rsidR="00831275" w:rsidRPr="007A1B41" w:rsidRDefault="00E27596" w:rsidP="00592E4A">
            <w:pPr>
              <w:jc w:val="both"/>
              <w:rPr>
                <w:lang w:val="en-US"/>
              </w:rPr>
            </w:pPr>
            <w:r>
              <w:rPr>
                <w:lang w:val="en-US"/>
              </w:rPr>
              <w:t>1,829</w:t>
            </w:r>
          </w:p>
        </w:tc>
        <w:tc>
          <w:tcPr>
            <w:tcW w:w="2180" w:type="dxa"/>
          </w:tcPr>
          <w:p w:rsidR="00831275" w:rsidRPr="007A1B41" w:rsidRDefault="00E27596" w:rsidP="00592E4A">
            <w:pPr>
              <w:jc w:val="both"/>
              <w:rPr>
                <w:lang w:val="en-US"/>
              </w:rPr>
            </w:pPr>
            <w:r>
              <w:rPr>
                <w:lang w:val="en-US"/>
              </w:rPr>
              <w:t>44.9</w:t>
            </w:r>
          </w:p>
        </w:tc>
      </w:tr>
      <w:tr w:rsidR="00831275" w:rsidRPr="007A1B41">
        <w:tc>
          <w:tcPr>
            <w:tcW w:w="2180" w:type="dxa"/>
          </w:tcPr>
          <w:p w:rsidR="00831275" w:rsidRPr="001F1B3C" w:rsidRDefault="00831275" w:rsidP="001E321A">
            <w:pPr>
              <w:jc w:val="both"/>
              <w:rPr>
                <w:b/>
                <w:lang w:val="en-US"/>
              </w:rPr>
            </w:pPr>
            <w:r w:rsidRPr="001F1B3C">
              <w:rPr>
                <w:b/>
                <w:lang w:val="en-US"/>
              </w:rPr>
              <w:t>El Salvador</w:t>
            </w:r>
          </w:p>
        </w:tc>
        <w:tc>
          <w:tcPr>
            <w:tcW w:w="2180" w:type="dxa"/>
          </w:tcPr>
          <w:p w:rsidR="00831275" w:rsidRPr="001F1B3C" w:rsidRDefault="00E27596" w:rsidP="00592E4A">
            <w:pPr>
              <w:jc w:val="both"/>
              <w:rPr>
                <w:b/>
                <w:lang w:val="en-US"/>
              </w:rPr>
            </w:pPr>
            <w:r>
              <w:rPr>
                <w:b/>
                <w:lang w:val="en-US"/>
              </w:rPr>
              <w:t>222</w:t>
            </w:r>
          </w:p>
        </w:tc>
        <w:tc>
          <w:tcPr>
            <w:tcW w:w="2180" w:type="dxa"/>
          </w:tcPr>
          <w:p w:rsidR="00831275" w:rsidRPr="001F1B3C" w:rsidRDefault="00E27596" w:rsidP="00592E4A">
            <w:pPr>
              <w:jc w:val="both"/>
              <w:rPr>
                <w:b/>
                <w:lang w:val="en-US"/>
              </w:rPr>
            </w:pPr>
            <w:r>
              <w:rPr>
                <w:b/>
                <w:lang w:val="en-US"/>
              </w:rPr>
              <w:t>2,362</w:t>
            </w:r>
          </w:p>
        </w:tc>
        <w:tc>
          <w:tcPr>
            <w:tcW w:w="2180" w:type="dxa"/>
          </w:tcPr>
          <w:p w:rsidR="00831275" w:rsidRPr="001F1B3C" w:rsidRDefault="00E27596" w:rsidP="00592E4A">
            <w:pPr>
              <w:jc w:val="both"/>
              <w:rPr>
                <w:b/>
                <w:lang w:val="en-US"/>
              </w:rPr>
            </w:pPr>
            <w:r>
              <w:rPr>
                <w:b/>
                <w:lang w:val="en-US"/>
              </w:rPr>
              <w:t>9.4</w:t>
            </w:r>
          </w:p>
        </w:tc>
      </w:tr>
      <w:tr w:rsidR="00831275" w:rsidRPr="007A1B41">
        <w:tc>
          <w:tcPr>
            <w:tcW w:w="2180" w:type="dxa"/>
          </w:tcPr>
          <w:p w:rsidR="00831275" w:rsidRPr="007A1B41" w:rsidRDefault="00831275" w:rsidP="00592E4A">
            <w:pPr>
              <w:jc w:val="both"/>
              <w:rPr>
                <w:lang w:val="en-US"/>
              </w:rPr>
            </w:pPr>
            <w:r w:rsidRPr="007A1B41">
              <w:rPr>
                <w:lang w:val="en-US"/>
              </w:rPr>
              <w:t>Guatemala</w:t>
            </w:r>
          </w:p>
        </w:tc>
        <w:tc>
          <w:tcPr>
            <w:tcW w:w="2180" w:type="dxa"/>
          </w:tcPr>
          <w:p w:rsidR="00831275" w:rsidRPr="007A1B41" w:rsidRDefault="00831275" w:rsidP="00592E4A">
            <w:pPr>
              <w:jc w:val="both"/>
              <w:rPr>
                <w:lang w:val="en-US"/>
              </w:rPr>
            </w:pPr>
            <w:r>
              <w:rPr>
                <w:lang w:val="en-US"/>
              </w:rPr>
              <w:t>147</w:t>
            </w:r>
          </w:p>
        </w:tc>
        <w:tc>
          <w:tcPr>
            <w:tcW w:w="2180" w:type="dxa"/>
          </w:tcPr>
          <w:p w:rsidR="00831275" w:rsidRPr="007A1B41" w:rsidRDefault="00831275" w:rsidP="00592E4A">
            <w:pPr>
              <w:jc w:val="both"/>
              <w:rPr>
                <w:lang w:val="en-US"/>
              </w:rPr>
            </w:pPr>
            <w:r>
              <w:rPr>
                <w:lang w:val="en-US"/>
              </w:rPr>
              <w:t>1,215</w:t>
            </w:r>
          </w:p>
        </w:tc>
        <w:tc>
          <w:tcPr>
            <w:tcW w:w="2180" w:type="dxa"/>
          </w:tcPr>
          <w:p w:rsidR="00831275" w:rsidRPr="007A1B41" w:rsidRDefault="00831275" w:rsidP="00592E4A">
            <w:pPr>
              <w:jc w:val="both"/>
              <w:rPr>
                <w:lang w:val="en-US"/>
              </w:rPr>
            </w:pPr>
            <w:r>
              <w:rPr>
                <w:lang w:val="en-US"/>
              </w:rPr>
              <w:t>12.1</w:t>
            </w:r>
          </w:p>
        </w:tc>
      </w:tr>
      <w:tr w:rsidR="00831275" w:rsidRPr="007A1B41">
        <w:tc>
          <w:tcPr>
            <w:tcW w:w="2180" w:type="dxa"/>
          </w:tcPr>
          <w:p w:rsidR="00831275" w:rsidRPr="001F1B3C" w:rsidRDefault="00831275" w:rsidP="00592E4A">
            <w:pPr>
              <w:jc w:val="both"/>
              <w:rPr>
                <w:b/>
                <w:lang w:val="en-US"/>
              </w:rPr>
            </w:pPr>
            <w:r w:rsidRPr="001F1B3C">
              <w:rPr>
                <w:b/>
                <w:lang w:val="en-US"/>
              </w:rPr>
              <w:t>Honduras</w:t>
            </w:r>
          </w:p>
        </w:tc>
        <w:tc>
          <w:tcPr>
            <w:tcW w:w="2180" w:type="dxa"/>
          </w:tcPr>
          <w:p w:rsidR="00831275" w:rsidRPr="001F1B3C" w:rsidRDefault="00E27596" w:rsidP="00592E4A">
            <w:pPr>
              <w:jc w:val="both"/>
              <w:rPr>
                <w:b/>
                <w:lang w:val="en-US"/>
              </w:rPr>
            </w:pPr>
            <w:r>
              <w:rPr>
                <w:b/>
                <w:lang w:val="en-US"/>
              </w:rPr>
              <w:t>214</w:t>
            </w:r>
          </w:p>
        </w:tc>
        <w:tc>
          <w:tcPr>
            <w:tcW w:w="2180" w:type="dxa"/>
          </w:tcPr>
          <w:p w:rsidR="00831275" w:rsidRPr="001F1B3C" w:rsidRDefault="00E27596" w:rsidP="00592E4A">
            <w:pPr>
              <w:jc w:val="both"/>
              <w:rPr>
                <w:b/>
                <w:lang w:val="en-US"/>
              </w:rPr>
            </w:pPr>
            <w:r>
              <w:rPr>
                <w:b/>
                <w:lang w:val="en-US"/>
              </w:rPr>
              <w:t>1,172</w:t>
            </w:r>
          </w:p>
        </w:tc>
        <w:tc>
          <w:tcPr>
            <w:tcW w:w="2180" w:type="dxa"/>
          </w:tcPr>
          <w:p w:rsidR="00831275" w:rsidRPr="001F1B3C" w:rsidRDefault="00E27596" w:rsidP="00592E4A">
            <w:pPr>
              <w:jc w:val="both"/>
              <w:rPr>
                <w:b/>
                <w:lang w:val="en-US"/>
              </w:rPr>
            </w:pPr>
            <w:r>
              <w:rPr>
                <w:b/>
                <w:lang w:val="en-US"/>
              </w:rPr>
              <w:t>18.3</w:t>
            </w:r>
          </w:p>
        </w:tc>
      </w:tr>
      <w:tr w:rsidR="00831275" w:rsidRPr="007A1B41">
        <w:tc>
          <w:tcPr>
            <w:tcW w:w="2180" w:type="dxa"/>
          </w:tcPr>
          <w:p w:rsidR="00831275" w:rsidRPr="007A1B41" w:rsidRDefault="00831275" w:rsidP="00592E4A">
            <w:pPr>
              <w:jc w:val="both"/>
              <w:rPr>
                <w:lang w:val="en-US"/>
              </w:rPr>
            </w:pPr>
            <w:r w:rsidRPr="007A1B41">
              <w:rPr>
                <w:lang w:val="en-US"/>
              </w:rPr>
              <w:t>Panama</w:t>
            </w:r>
          </w:p>
        </w:tc>
        <w:tc>
          <w:tcPr>
            <w:tcW w:w="2180" w:type="dxa"/>
          </w:tcPr>
          <w:p w:rsidR="00831275" w:rsidRPr="007A1B41" w:rsidRDefault="00831275" w:rsidP="00592E4A">
            <w:pPr>
              <w:jc w:val="both"/>
              <w:rPr>
                <w:lang w:val="en-US"/>
              </w:rPr>
            </w:pPr>
            <w:r>
              <w:rPr>
                <w:lang w:val="en-US"/>
              </w:rPr>
              <w:t>540</w:t>
            </w:r>
          </w:p>
        </w:tc>
        <w:tc>
          <w:tcPr>
            <w:tcW w:w="2180" w:type="dxa"/>
          </w:tcPr>
          <w:p w:rsidR="00831275" w:rsidRPr="007A1B41" w:rsidRDefault="00831275" w:rsidP="00592E4A">
            <w:pPr>
              <w:jc w:val="both"/>
              <w:rPr>
                <w:lang w:val="en-US"/>
              </w:rPr>
            </w:pPr>
            <w:r>
              <w:rPr>
                <w:lang w:val="en-US"/>
              </w:rPr>
              <w:t>2,887</w:t>
            </w:r>
          </w:p>
        </w:tc>
        <w:tc>
          <w:tcPr>
            <w:tcW w:w="2180" w:type="dxa"/>
          </w:tcPr>
          <w:p w:rsidR="00831275" w:rsidRPr="007A1B41" w:rsidRDefault="00831275" w:rsidP="00592E4A">
            <w:pPr>
              <w:jc w:val="both"/>
              <w:rPr>
                <w:lang w:val="en-US"/>
              </w:rPr>
            </w:pPr>
            <w:r>
              <w:rPr>
                <w:lang w:val="en-US"/>
              </w:rPr>
              <w:t>18.7</w:t>
            </w:r>
          </w:p>
        </w:tc>
      </w:tr>
      <w:tr w:rsidR="00831275" w:rsidRPr="007A1B41">
        <w:tc>
          <w:tcPr>
            <w:tcW w:w="2180" w:type="dxa"/>
          </w:tcPr>
          <w:p w:rsidR="00831275" w:rsidRPr="007A1B41" w:rsidRDefault="00831275" w:rsidP="00592E4A">
            <w:pPr>
              <w:jc w:val="both"/>
              <w:rPr>
                <w:lang w:val="en-US"/>
              </w:rPr>
            </w:pPr>
            <w:r w:rsidRPr="007A1B41">
              <w:rPr>
                <w:lang w:val="en-US"/>
              </w:rPr>
              <w:t>Peru</w:t>
            </w:r>
          </w:p>
        </w:tc>
        <w:tc>
          <w:tcPr>
            <w:tcW w:w="2180" w:type="dxa"/>
          </w:tcPr>
          <w:p w:rsidR="00831275" w:rsidRPr="007A1B41" w:rsidRDefault="00E27596" w:rsidP="00592E4A">
            <w:pPr>
              <w:jc w:val="both"/>
              <w:rPr>
                <w:lang w:val="en-US"/>
              </w:rPr>
            </w:pPr>
            <w:r>
              <w:rPr>
                <w:lang w:val="en-US"/>
              </w:rPr>
              <w:t>1,709</w:t>
            </w:r>
          </w:p>
        </w:tc>
        <w:tc>
          <w:tcPr>
            <w:tcW w:w="2180" w:type="dxa"/>
          </w:tcPr>
          <w:p w:rsidR="00831275" w:rsidRPr="007A1B41" w:rsidRDefault="00E27596" w:rsidP="00592E4A">
            <w:pPr>
              <w:jc w:val="both"/>
              <w:rPr>
                <w:lang w:val="en-US"/>
              </w:rPr>
            </w:pPr>
            <w:r>
              <w:rPr>
                <w:lang w:val="en-US"/>
              </w:rPr>
              <w:t>5,073</w:t>
            </w:r>
          </w:p>
        </w:tc>
        <w:tc>
          <w:tcPr>
            <w:tcW w:w="2180" w:type="dxa"/>
          </w:tcPr>
          <w:p w:rsidR="00831275" w:rsidRPr="007A1B41" w:rsidRDefault="00E27596" w:rsidP="00592E4A">
            <w:pPr>
              <w:jc w:val="both"/>
              <w:rPr>
                <w:lang w:val="en-US"/>
              </w:rPr>
            </w:pPr>
            <w:r>
              <w:rPr>
                <w:lang w:val="en-US"/>
              </w:rPr>
              <w:t>33.7</w:t>
            </w:r>
          </w:p>
        </w:tc>
      </w:tr>
      <w:tr w:rsidR="00831275" w:rsidRPr="007A1B41">
        <w:tc>
          <w:tcPr>
            <w:tcW w:w="2180" w:type="dxa"/>
          </w:tcPr>
          <w:p w:rsidR="00831275" w:rsidRPr="001F1B3C" w:rsidRDefault="00831275" w:rsidP="00592E4A">
            <w:pPr>
              <w:jc w:val="both"/>
              <w:rPr>
                <w:b/>
                <w:lang w:val="en-US"/>
              </w:rPr>
            </w:pPr>
            <w:r w:rsidRPr="001F1B3C">
              <w:rPr>
                <w:b/>
                <w:lang w:val="en-US"/>
              </w:rPr>
              <w:t>Puerto Rico</w:t>
            </w:r>
          </w:p>
        </w:tc>
        <w:tc>
          <w:tcPr>
            <w:tcW w:w="2180" w:type="dxa"/>
          </w:tcPr>
          <w:p w:rsidR="00831275" w:rsidRPr="001F1B3C" w:rsidRDefault="00831275" w:rsidP="00592E4A">
            <w:pPr>
              <w:jc w:val="both"/>
              <w:rPr>
                <w:b/>
                <w:lang w:val="en-US"/>
              </w:rPr>
            </w:pPr>
            <w:r w:rsidRPr="001F1B3C">
              <w:rPr>
                <w:b/>
                <w:lang w:val="en-US"/>
              </w:rPr>
              <w:t>9,384</w:t>
            </w:r>
          </w:p>
        </w:tc>
        <w:tc>
          <w:tcPr>
            <w:tcW w:w="2180" w:type="dxa"/>
          </w:tcPr>
          <w:p w:rsidR="00831275" w:rsidRPr="001F1B3C" w:rsidRDefault="00831275" w:rsidP="00592E4A">
            <w:pPr>
              <w:jc w:val="both"/>
              <w:rPr>
                <w:b/>
                <w:lang w:val="en-US"/>
              </w:rPr>
            </w:pPr>
            <w:r w:rsidRPr="001F1B3C">
              <w:rPr>
                <w:b/>
                <w:lang w:val="en-US"/>
              </w:rPr>
              <w:t>4,654</w:t>
            </w:r>
          </w:p>
        </w:tc>
        <w:tc>
          <w:tcPr>
            <w:tcW w:w="2180" w:type="dxa"/>
          </w:tcPr>
          <w:p w:rsidR="00831275" w:rsidRPr="001F1B3C" w:rsidRDefault="00831275" w:rsidP="00592E4A">
            <w:pPr>
              <w:jc w:val="both"/>
              <w:rPr>
                <w:b/>
                <w:lang w:val="en-US"/>
              </w:rPr>
            </w:pPr>
            <w:r w:rsidRPr="001F1B3C">
              <w:rPr>
                <w:b/>
                <w:lang w:val="en-US"/>
              </w:rPr>
              <w:t>49.6</w:t>
            </w:r>
          </w:p>
        </w:tc>
      </w:tr>
      <w:tr w:rsidR="00831275" w:rsidRPr="007A1B41">
        <w:tc>
          <w:tcPr>
            <w:tcW w:w="2180" w:type="dxa"/>
          </w:tcPr>
          <w:p w:rsidR="00831275" w:rsidRPr="007A1B41" w:rsidRDefault="00831275" w:rsidP="00592E4A">
            <w:pPr>
              <w:jc w:val="both"/>
              <w:rPr>
                <w:lang w:val="en-US"/>
              </w:rPr>
            </w:pPr>
            <w:r w:rsidRPr="007A1B41">
              <w:rPr>
                <w:lang w:val="en-US"/>
              </w:rPr>
              <w:t>Dominican Republic</w:t>
            </w:r>
          </w:p>
        </w:tc>
        <w:tc>
          <w:tcPr>
            <w:tcW w:w="2180" w:type="dxa"/>
          </w:tcPr>
          <w:p w:rsidR="00831275" w:rsidRPr="007A1B41" w:rsidRDefault="00831275" w:rsidP="00592E4A">
            <w:pPr>
              <w:jc w:val="both"/>
              <w:rPr>
                <w:lang w:val="en-US"/>
              </w:rPr>
            </w:pPr>
            <w:r>
              <w:rPr>
                <w:lang w:val="en-US"/>
              </w:rPr>
              <w:t>990</w:t>
            </w:r>
          </w:p>
        </w:tc>
        <w:tc>
          <w:tcPr>
            <w:tcW w:w="2180" w:type="dxa"/>
          </w:tcPr>
          <w:p w:rsidR="00831275" w:rsidRPr="007A1B41" w:rsidRDefault="00831275" w:rsidP="00592E4A">
            <w:pPr>
              <w:jc w:val="both"/>
              <w:rPr>
                <w:lang w:val="en-US"/>
              </w:rPr>
            </w:pPr>
            <w:r>
              <w:rPr>
                <w:lang w:val="en-US"/>
              </w:rPr>
              <w:t>3,784</w:t>
            </w:r>
          </w:p>
        </w:tc>
        <w:tc>
          <w:tcPr>
            <w:tcW w:w="2180" w:type="dxa"/>
          </w:tcPr>
          <w:p w:rsidR="00831275" w:rsidRPr="007A1B41" w:rsidRDefault="00831275" w:rsidP="00592E4A">
            <w:pPr>
              <w:jc w:val="both"/>
              <w:rPr>
                <w:lang w:val="en-US"/>
              </w:rPr>
            </w:pPr>
            <w:r>
              <w:rPr>
                <w:lang w:val="en-US"/>
              </w:rPr>
              <w:t>26.2</w:t>
            </w:r>
          </w:p>
        </w:tc>
      </w:tr>
    </w:tbl>
    <w:p w:rsidR="00EC148A" w:rsidRPr="001E321A" w:rsidRDefault="00831275" w:rsidP="00592E4A">
      <w:pPr>
        <w:jc w:val="both"/>
        <w:rPr>
          <w:sz w:val="20"/>
          <w:lang w:val="en-US"/>
        </w:rPr>
      </w:pPr>
      <w:r w:rsidRPr="001E321A">
        <w:rPr>
          <w:sz w:val="20"/>
          <w:lang w:val="en-US"/>
        </w:rPr>
        <w:t>Source</w:t>
      </w:r>
      <w:r w:rsidR="00C67A9E" w:rsidRPr="001E321A">
        <w:rPr>
          <w:sz w:val="20"/>
          <w:lang w:val="en-US"/>
        </w:rPr>
        <w:t>s</w:t>
      </w:r>
      <w:r w:rsidRPr="001E321A">
        <w:rPr>
          <w:sz w:val="20"/>
          <w:lang w:val="en-US"/>
        </w:rPr>
        <w:t>: JSCA, Report on Justice in the Americas 2008/2009</w:t>
      </w:r>
      <w:r w:rsidR="00C67A9E" w:rsidRPr="001E321A">
        <w:rPr>
          <w:sz w:val="20"/>
          <w:lang w:val="en-US"/>
        </w:rPr>
        <w:t>.</w:t>
      </w:r>
      <w:r w:rsidR="001E321A" w:rsidRPr="001E321A">
        <w:rPr>
          <w:sz w:val="20"/>
          <w:lang w:val="en-US"/>
        </w:rPr>
        <w:t xml:space="preserve"> The data for Argentina, Bolivia</w:t>
      </w:r>
      <w:r w:rsidR="001E321A">
        <w:rPr>
          <w:sz w:val="20"/>
          <w:lang w:val="en-US"/>
        </w:rPr>
        <w:t>, Eastern Caribbean, Ecuador, E</w:t>
      </w:r>
      <w:r w:rsidR="001E321A" w:rsidRPr="001E321A">
        <w:rPr>
          <w:sz w:val="20"/>
          <w:lang w:val="en-US"/>
        </w:rPr>
        <w:t>l Salvador, Honduras, and Peru are from</w:t>
      </w:r>
      <w:r w:rsidR="00C67A9E" w:rsidRPr="001E321A">
        <w:rPr>
          <w:sz w:val="20"/>
          <w:lang w:val="en-US"/>
        </w:rPr>
        <w:t xml:space="preserve"> JSCA, Report on Justice in the Americas 2006/2007.</w:t>
      </w:r>
      <w:r w:rsidR="001E321A" w:rsidRPr="001E321A">
        <w:rPr>
          <w:sz w:val="20"/>
          <w:lang w:val="en-US"/>
        </w:rPr>
        <w:t xml:space="preserve"> </w:t>
      </w:r>
      <w:r w:rsidR="00EC148A" w:rsidRPr="00196444">
        <w:rPr>
          <w:sz w:val="20"/>
          <w:szCs w:val="22"/>
          <w:lang w:val="en-US"/>
        </w:rPr>
        <w:t xml:space="preserve">*Argentina: </w:t>
      </w:r>
      <w:proofErr w:type="spellStart"/>
      <w:r w:rsidR="00EC148A" w:rsidRPr="00196444">
        <w:rPr>
          <w:sz w:val="20"/>
          <w:szCs w:val="22"/>
          <w:lang w:val="en-US"/>
        </w:rPr>
        <w:t>Poder</w:t>
      </w:r>
      <w:proofErr w:type="spellEnd"/>
      <w:r w:rsidR="00EC148A" w:rsidRPr="00196444">
        <w:rPr>
          <w:sz w:val="20"/>
          <w:szCs w:val="22"/>
          <w:lang w:val="en-US"/>
        </w:rPr>
        <w:t xml:space="preserve"> Judicial de la </w:t>
      </w:r>
      <w:proofErr w:type="spellStart"/>
      <w:r w:rsidR="00EC148A" w:rsidRPr="00196444">
        <w:rPr>
          <w:sz w:val="20"/>
          <w:szCs w:val="22"/>
          <w:lang w:val="en-US"/>
        </w:rPr>
        <w:t>Nación</w:t>
      </w:r>
      <w:proofErr w:type="spellEnd"/>
      <w:r w:rsidR="008976AE" w:rsidRPr="00196444">
        <w:rPr>
          <w:sz w:val="20"/>
          <w:szCs w:val="22"/>
          <w:lang w:val="en-US"/>
        </w:rPr>
        <w:t>.</w:t>
      </w:r>
    </w:p>
    <w:p w:rsidR="00831275" w:rsidRPr="00196444" w:rsidRDefault="00831275" w:rsidP="00592E4A">
      <w:pPr>
        <w:jc w:val="both"/>
        <w:rPr>
          <w:lang w:val="en-US"/>
        </w:rPr>
      </w:pPr>
    </w:p>
    <w:p w:rsidR="00831275" w:rsidRDefault="00831275" w:rsidP="00592E4A">
      <w:pPr>
        <w:jc w:val="both"/>
        <w:rPr>
          <w:lang w:val="en-US"/>
        </w:rPr>
      </w:pPr>
      <w:r w:rsidRPr="00BB18E6">
        <w:rPr>
          <w:lang w:val="en-US"/>
        </w:rPr>
        <w:t>On the other hand, in 2005/2006 the percentage of specialized civil courts in the region ranged between 4% and 58% of all existing courts, per 100,000 people. The countries with the highest percentages were Panama (42.9%) and Venezuela (58.6%), while those with the lowest percentages were El Salvador (4.9%) and Costa Rica (8.6%). As with the litigation indices, a careful analysis of this data rev</w:t>
      </w:r>
      <w:r w:rsidR="000C7560">
        <w:rPr>
          <w:lang w:val="en-US"/>
        </w:rPr>
        <w:t xml:space="preserve">eals other interesting issues. </w:t>
      </w:r>
      <w:r w:rsidRPr="00BB18E6">
        <w:rPr>
          <w:lang w:val="en-US"/>
        </w:rPr>
        <w:t xml:space="preserve">For example, although El Salvador is the country with the highest rate of judicial </w:t>
      </w:r>
      <w:r w:rsidRPr="00D46014">
        <w:rPr>
          <w:lang w:val="en-US"/>
        </w:rPr>
        <w:t>offices</w:t>
      </w:r>
      <w:r w:rsidRPr="00BB18E6">
        <w:rPr>
          <w:lang w:val="en-US"/>
        </w:rPr>
        <w:t xml:space="preserve"> (7.99) per 100,000 people, it has the lowest rate of civil </w:t>
      </w:r>
      <w:r w:rsidRPr="000C7560">
        <w:rPr>
          <w:lang w:val="en-US"/>
        </w:rPr>
        <w:t>offices</w:t>
      </w:r>
      <w:r w:rsidRPr="00BB18E6">
        <w:rPr>
          <w:lang w:val="en-US"/>
        </w:rPr>
        <w:t xml:space="preserve"> (0.39) per 100,000 people.</w:t>
      </w:r>
      <w:r>
        <w:rPr>
          <w:lang w:val="en-US"/>
        </w:rPr>
        <w:t xml:space="preserve"> Also, Costa Rica—where there are relatively few courts and, therefore, several judges are assigned to the same office—indicates that having low rates of </w:t>
      </w:r>
      <w:r w:rsidRPr="000C7560">
        <w:rPr>
          <w:lang w:val="en-US"/>
        </w:rPr>
        <w:t>offices</w:t>
      </w:r>
      <w:r>
        <w:rPr>
          <w:lang w:val="en-US"/>
        </w:rPr>
        <w:t xml:space="preserve"> does not necessarily implicate having fewer judges.</w:t>
      </w:r>
    </w:p>
    <w:p w:rsidR="00831275" w:rsidRDefault="00831275" w:rsidP="00592E4A">
      <w:pPr>
        <w:jc w:val="both"/>
        <w:rPr>
          <w:lang w:val="en-US"/>
        </w:rPr>
      </w:pPr>
    </w:p>
    <w:p w:rsidR="00831275" w:rsidRDefault="00831275" w:rsidP="00592E4A">
      <w:pPr>
        <w:ind w:right="-1036"/>
        <w:jc w:val="both"/>
        <w:rPr>
          <w:lang w:val="en-US"/>
        </w:rPr>
      </w:pPr>
    </w:p>
    <w:p w:rsidR="00831275" w:rsidRPr="00F70AC6" w:rsidRDefault="00831275" w:rsidP="00012E7A">
      <w:pPr>
        <w:ind w:left="-1080" w:right="-1036"/>
        <w:jc w:val="center"/>
        <w:rPr>
          <w:b/>
          <w:lang w:val="en-US"/>
        </w:rPr>
      </w:pPr>
      <w:proofErr w:type="gramStart"/>
      <w:r w:rsidRPr="00F70AC6">
        <w:rPr>
          <w:b/>
          <w:lang w:val="en-US"/>
        </w:rPr>
        <w:t>Graphic 1.</w:t>
      </w:r>
      <w:proofErr w:type="gramEnd"/>
    </w:p>
    <w:p w:rsidR="00831275" w:rsidRPr="0038687A" w:rsidRDefault="00831275" w:rsidP="00012E7A">
      <w:pPr>
        <w:ind w:left="-1080" w:right="-1036"/>
        <w:jc w:val="center"/>
        <w:rPr>
          <w:lang w:val="en-US"/>
        </w:rPr>
      </w:pPr>
      <w:r w:rsidRPr="0038687A">
        <w:rPr>
          <w:lang w:val="en-US"/>
        </w:rPr>
        <w:t>Specialized civil courts as part of all co</w:t>
      </w:r>
      <w:r w:rsidR="00322A11">
        <w:rPr>
          <w:lang w:val="en-US"/>
        </w:rPr>
        <w:t>urts, per 100,000 people</w:t>
      </w:r>
    </w:p>
    <w:p w:rsidR="00831275" w:rsidRDefault="00D242E1" w:rsidP="00592E4A">
      <w:pPr>
        <w:ind w:right="-1036"/>
        <w:jc w:val="both"/>
        <w:rPr>
          <w:lang w:val="en-US"/>
        </w:rPr>
      </w:pPr>
      <w:r>
        <w:rPr>
          <w:noProof/>
          <w:lang w:val="es-CL" w:eastAsia="es-CL"/>
        </w:rPr>
        <w:drawing>
          <wp:inline distT="0" distB="0" distL="0" distR="0">
            <wp:extent cx="5486400" cy="2222500"/>
            <wp:effectExtent l="0" t="0" r="0" b="0"/>
            <wp:docPr id="1" name="Objec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831275" w:rsidRPr="00322A11" w:rsidRDefault="00831275" w:rsidP="00322A11">
      <w:pPr>
        <w:ind w:left="-1080" w:right="-1036"/>
        <w:jc w:val="both"/>
        <w:rPr>
          <w:sz w:val="20"/>
          <w:lang w:val="en-US"/>
        </w:rPr>
      </w:pPr>
      <w:r w:rsidRPr="00322A11">
        <w:rPr>
          <w:sz w:val="20"/>
          <w:lang w:val="en-US"/>
        </w:rPr>
        <w:tab/>
      </w:r>
      <w:r w:rsidRPr="00322A11">
        <w:rPr>
          <w:sz w:val="20"/>
          <w:lang w:val="en-US"/>
        </w:rPr>
        <w:tab/>
        <w:t>Source: JSCA, Report on Justice in the Americas 2005/2006</w:t>
      </w:r>
      <w:r w:rsidR="00322A11">
        <w:rPr>
          <w:sz w:val="20"/>
          <w:lang w:val="en-US"/>
        </w:rPr>
        <w:t>; c</w:t>
      </w:r>
      <w:r w:rsidRPr="00322A11">
        <w:rPr>
          <w:sz w:val="20"/>
          <w:szCs w:val="20"/>
          <w:lang w:val="en-US"/>
        </w:rPr>
        <w:t>urrent statistics not yet available</w:t>
      </w:r>
      <w:r w:rsidRPr="00322A11">
        <w:rPr>
          <w:sz w:val="20"/>
          <w:lang w:val="en-US"/>
        </w:rPr>
        <w:t>.</w:t>
      </w:r>
    </w:p>
    <w:p w:rsidR="00831275" w:rsidRDefault="00831275" w:rsidP="00592E4A">
      <w:pPr>
        <w:jc w:val="both"/>
        <w:rPr>
          <w:lang w:val="en-US"/>
        </w:rPr>
      </w:pPr>
    </w:p>
    <w:p w:rsidR="00396017" w:rsidRDefault="00831275" w:rsidP="00592E4A">
      <w:pPr>
        <w:jc w:val="both"/>
        <w:rPr>
          <w:lang w:val="en-US"/>
        </w:rPr>
      </w:pPr>
      <w:r>
        <w:rPr>
          <w:lang w:val="en-US"/>
        </w:rPr>
        <w:t xml:space="preserve">Because </w:t>
      </w:r>
      <w:r w:rsidRPr="00367B07">
        <w:rPr>
          <w:lang w:val="en-US"/>
        </w:rPr>
        <w:t xml:space="preserve">some of the most important </w:t>
      </w:r>
      <w:r>
        <w:rPr>
          <w:lang w:val="en-US"/>
        </w:rPr>
        <w:t xml:space="preserve">disputes within civil justice deal with broken contracts, a relevant analysis illustrates how long it takes for a contract to go into effect when its enforcement has failed and calculates the associated costs. This analysis has been done by </w:t>
      </w:r>
      <w:r>
        <w:rPr>
          <w:lang w:val="en-US"/>
        </w:rPr>
        <w:lastRenderedPageBreak/>
        <w:t>the World Bank, which generates a fictitious case allowing it to measure and compare the following: (a) the amount of time between the presentation of the claim by the plaintiff and when he receives payment; (b) the costs of the above process, which is to say, the court paperwork and procedures, any existing judicial fees, and the lawyers’ fees; and (c) the quantity of steps needed to resolve the dispute from the introduction o</w:t>
      </w:r>
      <w:r w:rsidR="00A7451A">
        <w:rPr>
          <w:lang w:val="en-US"/>
        </w:rPr>
        <w:t>f the claim to its realization.</w:t>
      </w:r>
      <w:r>
        <w:rPr>
          <w:lang w:val="en-US"/>
        </w:rPr>
        <w:t xml:space="preserve"> </w:t>
      </w:r>
    </w:p>
    <w:p w:rsidR="00831275" w:rsidRDefault="00831275" w:rsidP="00592E4A">
      <w:pPr>
        <w:jc w:val="both"/>
        <w:rPr>
          <w:lang w:val="en-US"/>
        </w:rPr>
      </w:pPr>
    </w:p>
    <w:p w:rsidR="00831275" w:rsidRDefault="00831275" w:rsidP="00592E4A">
      <w:pPr>
        <w:jc w:val="both"/>
        <w:rPr>
          <w:lang w:val="en-US"/>
        </w:rPr>
      </w:pPr>
      <w:r>
        <w:rPr>
          <w:lang w:val="en-US"/>
        </w:rPr>
        <w:t xml:space="preserve">According to the comparative analysis, </w:t>
      </w:r>
      <w:r w:rsidR="00063137">
        <w:rPr>
          <w:lang w:val="en-US"/>
        </w:rPr>
        <w:t xml:space="preserve">the </w:t>
      </w:r>
      <w:r>
        <w:rPr>
          <w:lang w:val="en-US"/>
        </w:rPr>
        <w:t>number of days it takes to fulfill a contract in Latin America and the Caribbean rang</w:t>
      </w:r>
      <w:r w:rsidR="00063137">
        <w:rPr>
          <w:lang w:val="en-US"/>
        </w:rPr>
        <w:t>ed between 351 and 1,715 in 2010</w:t>
      </w:r>
      <w:r>
        <w:rPr>
          <w:lang w:val="en-US"/>
        </w:rPr>
        <w:t xml:space="preserve">. The country with the least delay was </w:t>
      </w:r>
      <w:r w:rsidR="00063137">
        <w:rPr>
          <w:lang w:val="en-US"/>
        </w:rPr>
        <w:t>Antigua and Barbuda (351</w:t>
      </w:r>
      <w:r>
        <w:rPr>
          <w:lang w:val="en-US"/>
        </w:rPr>
        <w:t xml:space="preserve"> days), being </w:t>
      </w:r>
      <w:r w:rsidR="00063137">
        <w:rPr>
          <w:lang w:val="en-US"/>
        </w:rPr>
        <w:t>the only country in the region</w:t>
      </w:r>
      <w:r>
        <w:rPr>
          <w:lang w:val="en-US"/>
        </w:rPr>
        <w:t xml:space="preserve"> to register a court process under one year. Meanwhile, the country with the longest delay was Sur</w:t>
      </w:r>
      <w:r w:rsidR="00396017">
        <w:rPr>
          <w:lang w:val="en-US"/>
        </w:rPr>
        <w:t>iname (1,715 days).</w:t>
      </w:r>
      <w:r>
        <w:rPr>
          <w:lang w:val="en-US"/>
        </w:rPr>
        <w:t xml:space="preserve"> In Trinidad and Tobago, Colombia, Guatemala, and Suriname, the process lasted more than three years, and in the remaining countries, between thirteen and thirty months.</w:t>
      </w:r>
    </w:p>
    <w:p w:rsidR="00831275" w:rsidRDefault="00831275" w:rsidP="00592E4A">
      <w:pPr>
        <w:jc w:val="both"/>
        <w:rPr>
          <w:lang w:val="en-US"/>
        </w:rPr>
      </w:pPr>
    </w:p>
    <w:p w:rsidR="00D46014" w:rsidRDefault="00D46014" w:rsidP="00592E4A">
      <w:pPr>
        <w:jc w:val="both"/>
        <w:rPr>
          <w:lang w:val="en-US"/>
        </w:rPr>
      </w:pPr>
    </w:p>
    <w:p w:rsidR="00831275" w:rsidRDefault="00831275" w:rsidP="00012E7A">
      <w:pPr>
        <w:ind w:left="-990" w:right="-1036"/>
        <w:jc w:val="center"/>
        <w:rPr>
          <w:b/>
          <w:lang w:val="en-US"/>
        </w:rPr>
      </w:pPr>
      <w:proofErr w:type="gramStart"/>
      <w:r>
        <w:rPr>
          <w:b/>
          <w:lang w:val="en-US"/>
        </w:rPr>
        <w:t>Graphic 2.</w:t>
      </w:r>
      <w:proofErr w:type="gramEnd"/>
    </w:p>
    <w:p w:rsidR="00831275" w:rsidRPr="0038687A" w:rsidRDefault="00831275" w:rsidP="00012E7A">
      <w:pPr>
        <w:ind w:left="-990" w:right="-1036"/>
        <w:jc w:val="center"/>
        <w:rPr>
          <w:lang w:val="en-US"/>
        </w:rPr>
      </w:pPr>
      <w:r>
        <w:rPr>
          <w:lang w:val="en-US"/>
        </w:rPr>
        <w:t>Number of days to fulfill a legal contract</w:t>
      </w:r>
    </w:p>
    <w:p w:rsidR="00831275" w:rsidRPr="00322A11" w:rsidRDefault="00D242E1" w:rsidP="00592E4A">
      <w:pPr>
        <w:ind w:left="-990" w:right="-1036"/>
        <w:jc w:val="both"/>
        <w:rPr>
          <w:sz w:val="20"/>
          <w:lang w:val="en-US"/>
        </w:rPr>
      </w:pPr>
      <w:r>
        <w:rPr>
          <w:noProof/>
          <w:lang w:val="es-CL" w:eastAsia="es-CL"/>
        </w:rPr>
        <w:drawing>
          <wp:inline distT="0" distB="0" distL="0" distR="0">
            <wp:extent cx="6736715" cy="2639060"/>
            <wp:effectExtent l="0" t="0" r="0" b="0"/>
            <wp:docPr id="2" name="Objec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00831275">
        <w:rPr>
          <w:lang w:val="en-US"/>
        </w:rPr>
        <w:tab/>
      </w:r>
      <w:r w:rsidR="00831275" w:rsidRPr="00322A11">
        <w:rPr>
          <w:sz w:val="20"/>
          <w:lang w:val="en-US"/>
        </w:rPr>
        <w:tab/>
        <w:t xml:space="preserve">Source: World Bank. </w:t>
      </w:r>
      <w:proofErr w:type="gramStart"/>
      <w:r w:rsidR="00831275" w:rsidRPr="00322A11">
        <w:rPr>
          <w:sz w:val="20"/>
          <w:lang w:val="en-US"/>
        </w:rPr>
        <w:t>Doing Business 2011.</w:t>
      </w:r>
      <w:proofErr w:type="gramEnd"/>
    </w:p>
    <w:p w:rsidR="00831275" w:rsidRDefault="00831275" w:rsidP="00592E4A">
      <w:pPr>
        <w:ind w:left="-990" w:right="-1036"/>
        <w:jc w:val="both"/>
        <w:rPr>
          <w:lang w:val="en-US"/>
        </w:rPr>
      </w:pPr>
    </w:p>
    <w:p w:rsidR="00831275" w:rsidRDefault="00831275" w:rsidP="00592E4A">
      <w:pPr>
        <w:ind w:left="-990" w:right="-1036"/>
        <w:jc w:val="both"/>
        <w:rPr>
          <w:lang w:val="en-US"/>
        </w:rPr>
      </w:pPr>
    </w:p>
    <w:p w:rsidR="00831275" w:rsidRDefault="00BA6463" w:rsidP="00592E4A">
      <w:pPr>
        <w:jc w:val="both"/>
        <w:rPr>
          <w:lang w:val="en-US"/>
        </w:rPr>
      </w:pPr>
      <w:r>
        <w:rPr>
          <w:lang w:val="en-US"/>
        </w:rPr>
        <w:t>In the</w:t>
      </w:r>
      <w:r w:rsidR="00831275">
        <w:rPr>
          <w:lang w:val="en-US"/>
        </w:rPr>
        <w:t xml:space="preserve"> same year, the number of necessary steps to realize the entire claims process and payment fluctuated between 29</w:t>
      </w:r>
      <w:r w:rsidR="00396017">
        <w:rPr>
          <w:lang w:val="en-US"/>
        </w:rPr>
        <w:t xml:space="preserve"> and 51 throughout the region. </w:t>
      </w:r>
      <w:r w:rsidR="00831275">
        <w:rPr>
          <w:lang w:val="en-US"/>
        </w:rPr>
        <w:t xml:space="preserve">The country with the fewest procedural steps was Venezuela (29), and that </w:t>
      </w:r>
      <w:r>
        <w:rPr>
          <w:lang w:val="en-US"/>
        </w:rPr>
        <w:t xml:space="preserve">with the most was Belize (51). </w:t>
      </w:r>
      <w:r w:rsidR="00831275">
        <w:rPr>
          <w:lang w:val="en-US"/>
        </w:rPr>
        <w:t>With respect to the other costs, the countries with the greatest costs—measured as a percentage of the total debt owed—are Panama (50%), Colombi</w:t>
      </w:r>
      <w:r w:rsidR="00396017">
        <w:rPr>
          <w:lang w:val="en-US"/>
        </w:rPr>
        <w:t xml:space="preserve">a (47.9%) and Jamaica (45.6%). </w:t>
      </w:r>
      <w:r w:rsidR="00831275">
        <w:rPr>
          <w:lang w:val="en-US"/>
        </w:rPr>
        <w:t xml:space="preserve">Those with the least costs </w:t>
      </w:r>
      <w:r>
        <w:rPr>
          <w:lang w:val="en-US"/>
        </w:rPr>
        <w:t>in the region are</w:t>
      </w:r>
      <w:r w:rsidR="00831275">
        <w:rPr>
          <w:lang w:val="en-US"/>
        </w:rPr>
        <w:t xml:space="preserve"> Arge</w:t>
      </w:r>
      <w:r w:rsidR="00396017">
        <w:rPr>
          <w:lang w:val="en-US"/>
        </w:rPr>
        <w:t xml:space="preserve">ntina and Brazil (both 16.5%). </w:t>
      </w:r>
      <w:r w:rsidR="00831275">
        <w:rPr>
          <w:lang w:val="en-US"/>
        </w:rPr>
        <w:t>In the region, the average percentage, in relation to the total cost of the debt owed to the plaintiff, is 30.5%.</w:t>
      </w:r>
      <w:r>
        <w:rPr>
          <w:lang w:val="en-US"/>
        </w:rPr>
        <w:t xml:space="preserve"> </w:t>
      </w:r>
    </w:p>
    <w:p w:rsidR="00831275" w:rsidRDefault="00831275" w:rsidP="00592E4A">
      <w:pPr>
        <w:jc w:val="both"/>
        <w:rPr>
          <w:lang w:val="en-US"/>
        </w:rPr>
      </w:pPr>
    </w:p>
    <w:p w:rsidR="00D46014" w:rsidRDefault="00D46014" w:rsidP="00592E4A">
      <w:pPr>
        <w:jc w:val="both"/>
        <w:rPr>
          <w:lang w:val="en-US"/>
        </w:rPr>
      </w:pPr>
    </w:p>
    <w:p w:rsidR="00831275" w:rsidRDefault="00831275" w:rsidP="00396017">
      <w:pPr>
        <w:keepNext/>
        <w:keepLines/>
        <w:ind w:left="-1080" w:right="-1037"/>
        <w:jc w:val="center"/>
        <w:rPr>
          <w:b/>
          <w:lang w:val="en-US"/>
        </w:rPr>
      </w:pPr>
      <w:proofErr w:type="gramStart"/>
      <w:r>
        <w:rPr>
          <w:b/>
          <w:lang w:val="en-US"/>
        </w:rPr>
        <w:lastRenderedPageBreak/>
        <w:t>Graphic 3.</w:t>
      </w:r>
      <w:proofErr w:type="gramEnd"/>
    </w:p>
    <w:p w:rsidR="00831275" w:rsidRDefault="00831275" w:rsidP="00396017">
      <w:pPr>
        <w:keepNext/>
        <w:keepLines/>
        <w:ind w:left="-1080" w:right="-1037"/>
        <w:jc w:val="center"/>
        <w:rPr>
          <w:lang w:val="en-US"/>
        </w:rPr>
      </w:pPr>
      <w:r>
        <w:rPr>
          <w:lang w:val="en-US"/>
        </w:rPr>
        <w:t>Cost as a percentage of debt owed to the plaintiff</w:t>
      </w:r>
    </w:p>
    <w:p w:rsidR="00831275" w:rsidRPr="00322A11" w:rsidRDefault="00D242E1" w:rsidP="00396017">
      <w:pPr>
        <w:keepNext/>
        <w:keepLines/>
        <w:ind w:left="-1080" w:right="-1037"/>
        <w:jc w:val="both"/>
        <w:rPr>
          <w:sz w:val="20"/>
          <w:lang w:val="en-US"/>
        </w:rPr>
      </w:pPr>
      <w:r>
        <w:rPr>
          <w:noProof/>
          <w:lang w:val="es-CL" w:eastAsia="es-CL"/>
        </w:rPr>
        <w:drawing>
          <wp:inline distT="0" distB="0" distL="0" distR="0">
            <wp:extent cx="6805930" cy="2916555"/>
            <wp:effectExtent l="0" t="0" r="0" b="0"/>
            <wp:docPr id="3" name="Object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831275" w:rsidRPr="0038687A">
        <w:rPr>
          <w:lang w:val="en-US"/>
        </w:rPr>
        <w:tab/>
      </w:r>
      <w:r w:rsidR="00831275" w:rsidRPr="00322A11">
        <w:rPr>
          <w:sz w:val="20"/>
          <w:lang w:val="en-US"/>
        </w:rPr>
        <w:tab/>
        <w:t xml:space="preserve">Source: World Bank. </w:t>
      </w:r>
      <w:proofErr w:type="gramStart"/>
      <w:r w:rsidR="00831275" w:rsidRPr="00322A11">
        <w:rPr>
          <w:sz w:val="20"/>
          <w:lang w:val="en-US"/>
        </w:rPr>
        <w:t>Doing Business 2011.</w:t>
      </w:r>
      <w:proofErr w:type="gramEnd"/>
    </w:p>
    <w:p w:rsidR="00831275" w:rsidRDefault="00831275" w:rsidP="00592E4A">
      <w:pPr>
        <w:jc w:val="both"/>
        <w:rPr>
          <w:u w:val="single"/>
          <w:lang w:val="en-US"/>
        </w:rPr>
      </w:pPr>
    </w:p>
    <w:p w:rsidR="00831275" w:rsidRDefault="00831275" w:rsidP="00592E4A">
      <w:pPr>
        <w:jc w:val="both"/>
        <w:rPr>
          <w:u w:val="single"/>
          <w:lang w:val="en-US"/>
        </w:rPr>
      </w:pPr>
    </w:p>
    <w:p w:rsidR="0017044A" w:rsidRDefault="007D3599" w:rsidP="00592E4A">
      <w:pPr>
        <w:pStyle w:val="Prrafodelista"/>
        <w:numPr>
          <w:ilvl w:val="0"/>
          <w:numId w:val="3"/>
        </w:numPr>
        <w:jc w:val="both"/>
        <w:rPr>
          <w:b/>
          <w:lang w:val="en-US"/>
        </w:rPr>
      </w:pPr>
      <w:r>
        <w:rPr>
          <w:b/>
          <w:lang w:val="en-US"/>
        </w:rPr>
        <w:t>Reforms initiated in the region</w:t>
      </w:r>
    </w:p>
    <w:p w:rsidR="0017044A" w:rsidRDefault="0017044A" w:rsidP="00592E4A">
      <w:pPr>
        <w:jc w:val="both"/>
        <w:rPr>
          <w:b/>
          <w:lang w:val="en-US"/>
        </w:rPr>
      </w:pPr>
    </w:p>
    <w:p w:rsidR="0017044A" w:rsidRDefault="0017044A" w:rsidP="00592E4A">
      <w:pPr>
        <w:jc w:val="both"/>
        <w:rPr>
          <w:lang w:val="en-US"/>
        </w:rPr>
      </w:pPr>
      <w:r>
        <w:rPr>
          <w:lang w:val="en-US"/>
        </w:rPr>
        <w:t>In the last 25 years, diverse reforms to civil justice have taken shape in Latin America and the Caribbean. In general terms, there a</w:t>
      </w:r>
      <w:r w:rsidR="00396017">
        <w:rPr>
          <w:lang w:val="en-US"/>
        </w:rPr>
        <w:t>re two large groups of reforms.</w:t>
      </w:r>
      <w:r>
        <w:rPr>
          <w:lang w:val="en-US"/>
        </w:rPr>
        <w:t xml:space="preserve"> The first group was designed </w:t>
      </w:r>
      <w:r w:rsidR="003E720E">
        <w:rPr>
          <w:lang w:val="en-US"/>
        </w:rPr>
        <w:t>for civil justice</w:t>
      </w:r>
      <w:r w:rsidR="00396017">
        <w:rPr>
          <w:lang w:val="en-US"/>
        </w:rPr>
        <w:t>,</w:t>
      </w:r>
      <w:r w:rsidR="003E720E">
        <w:rPr>
          <w:lang w:val="en-US"/>
        </w:rPr>
        <w:t xml:space="preserve"> within</w:t>
      </w:r>
      <w:r>
        <w:rPr>
          <w:lang w:val="en-US"/>
        </w:rPr>
        <w:t xml:space="preserve"> a </w:t>
      </w:r>
      <w:r w:rsidR="003E720E">
        <w:rPr>
          <w:lang w:val="en-US"/>
        </w:rPr>
        <w:t>broad understanding of the concept</w:t>
      </w:r>
      <w:r w:rsidR="00396017">
        <w:rPr>
          <w:lang w:val="en-US"/>
        </w:rPr>
        <w:t xml:space="preserve">. </w:t>
      </w:r>
      <w:r>
        <w:rPr>
          <w:lang w:val="en-US"/>
        </w:rPr>
        <w:t xml:space="preserve">The second was designed for the justice system in general, thus creating an impact on civil justice as well. </w:t>
      </w:r>
    </w:p>
    <w:p w:rsidR="0017044A" w:rsidRPr="0017044A" w:rsidRDefault="0017044A" w:rsidP="00592E4A">
      <w:pPr>
        <w:jc w:val="both"/>
        <w:rPr>
          <w:b/>
          <w:lang w:val="en-US"/>
        </w:rPr>
      </w:pPr>
    </w:p>
    <w:p w:rsidR="0017044A" w:rsidRDefault="0017044A" w:rsidP="00592E4A">
      <w:pPr>
        <w:pStyle w:val="Prrafodelista"/>
        <w:numPr>
          <w:ilvl w:val="1"/>
          <w:numId w:val="3"/>
        </w:numPr>
        <w:jc w:val="both"/>
        <w:rPr>
          <w:b/>
          <w:lang w:val="en-US"/>
        </w:rPr>
      </w:pPr>
      <w:r>
        <w:rPr>
          <w:b/>
          <w:lang w:val="en-US"/>
        </w:rPr>
        <w:t>Reforms aimed specifically at civil justice</w:t>
      </w:r>
    </w:p>
    <w:p w:rsidR="0017044A" w:rsidRDefault="0017044A" w:rsidP="00592E4A">
      <w:pPr>
        <w:jc w:val="both"/>
        <w:rPr>
          <w:b/>
          <w:lang w:val="en-US"/>
        </w:rPr>
      </w:pPr>
    </w:p>
    <w:p w:rsidR="0017044A" w:rsidRDefault="0017044A" w:rsidP="00592E4A">
      <w:pPr>
        <w:jc w:val="both"/>
        <w:rPr>
          <w:lang w:val="en-US"/>
        </w:rPr>
      </w:pPr>
      <w:r>
        <w:rPr>
          <w:lang w:val="en-US"/>
        </w:rPr>
        <w:t>The first set of reforms highlights substantive rights in labor, family, or spousal issues; it has aimed to make these issues independent from the sphere of civil justice, and has redefine</w:t>
      </w:r>
      <w:r w:rsidR="00396017">
        <w:rPr>
          <w:lang w:val="en-US"/>
        </w:rPr>
        <w:t>d the concept of civil justice.</w:t>
      </w:r>
      <w:r>
        <w:rPr>
          <w:lang w:val="en-US"/>
        </w:rPr>
        <w:t xml:space="preserve"> For example, in almost all the countries of the region, this set of reforms creates special procedures and/or special</w:t>
      </w:r>
      <w:r w:rsidR="00396017">
        <w:rPr>
          <w:lang w:val="en-US"/>
        </w:rPr>
        <w:t>ized</w:t>
      </w:r>
      <w:r>
        <w:rPr>
          <w:lang w:val="en-US"/>
        </w:rPr>
        <w:t xml:space="preserve"> judges to deal with labor and family issues. Also (but to a lesser extent) more independence has been granted to the areas of commercial, agricultural, youth and adolescent, and tenancy law, among others.</w:t>
      </w:r>
    </w:p>
    <w:p w:rsidR="0017044A" w:rsidRDefault="0017044A" w:rsidP="00592E4A">
      <w:pPr>
        <w:jc w:val="both"/>
        <w:rPr>
          <w:lang w:val="en-US"/>
        </w:rPr>
      </w:pPr>
    </w:p>
    <w:p w:rsidR="0017044A" w:rsidRDefault="0017044A" w:rsidP="00592E4A">
      <w:pPr>
        <w:jc w:val="both"/>
        <w:rPr>
          <w:lang w:val="en-US"/>
        </w:rPr>
      </w:pPr>
      <w:r>
        <w:rPr>
          <w:lang w:val="en-US"/>
        </w:rPr>
        <w:t>Similarly, two trends in judicial reforms should be noted as they have applied to civil proceedings. These</w:t>
      </w:r>
      <w:r w:rsidR="00396017">
        <w:rPr>
          <w:lang w:val="en-US"/>
        </w:rPr>
        <w:t xml:space="preserve"> have</w:t>
      </w:r>
      <w:r>
        <w:rPr>
          <w:lang w:val="en-US"/>
        </w:rPr>
        <w:t xml:space="preserve"> originated from common assumptions:</w:t>
      </w:r>
      <w:r w:rsidR="00396017">
        <w:rPr>
          <w:lang w:val="en-US"/>
        </w:rPr>
        <w:t xml:space="preserve"> </w:t>
      </w:r>
      <w:r>
        <w:rPr>
          <w:lang w:val="en-US"/>
        </w:rPr>
        <w:t xml:space="preserve"> guaranteeing oral proceedings, direct contact between the parties and the judge, less formal judicial proceedings, and more expeditious judicial proceedings. The first originates in Latin America from the </w:t>
      </w:r>
      <w:r w:rsidRPr="00961953">
        <w:rPr>
          <w:lang w:val="en-US"/>
        </w:rPr>
        <w:t xml:space="preserve">Draft Model Code for </w:t>
      </w:r>
      <w:proofErr w:type="spellStart"/>
      <w:r w:rsidRPr="00961953">
        <w:rPr>
          <w:lang w:val="en-US"/>
        </w:rPr>
        <w:t>Ibero</w:t>
      </w:r>
      <w:proofErr w:type="spellEnd"/>
      <w:r w:rsidRPr="00961953">
        <w:rPr>
          <w:lang w:val="en-US"/>
        </w:rPr>
        <w:t xml:space="preserve">-America of the </w:t>
      </w:r>
      <w:proofErr w:type="spellStart"/>
      <w:r w:rsidRPr="00961953">
        <w:rPr>
          <w:lang w:val="en-US"/>
        </w:rPr>
        <w:t>Ibero</w:t>
      </w:r>
      <w:proofErr w:type="spellEnd"/>
      <w:r w:rsidRPr="00961953">
        <w:rPr>
          <w:lang w:val="en-US"/>
        </w:rPr>
        <w:t>-American Institute of Civil Procedure (1998), and in the countries of the Carib</w:t>
      </w:r>
      <w:r w:rsidR="00592E4A">
        <w:rPr>
          <w:lang w:val="en-US"/>
        </w:rPr>
        <w:t>b</w:t>
      </w:r>
      <w:r w:rsidRPr="00961953">
        <w:rPr>
          <w:lang w:val="en-US"/>
        </w:rPr>
        <w:t>ean from the reforms to customs, or common, law in England in Wales (1999). This trend calls for the unification of all civil procedures within their broad understanding (civil, commercial, agricultural, la</w:t>
      </w:r>
      <w:r w:rsidR="00592E4A">
        <w:rPr>
          <w:lang w:val="en-US"/>
        </w:rPr>
        <w:t>b</w:t>
      </w:r>
      <w:r w:rsidRPr="00961953">
        <w:rPr>
          <w:lang w:val="en-US"/>
        </w:rPr>
        <w:t>or, family) through a general procedure code (e.g., Uruguay 1989) or civil procedure rules (CARICOM 2000-2005). The second trend calls for a reform to the civil proceedings in the stricter sense (Per</w:t>
      </w:r>
      <w:r w:rsidR="00592E4A">
        <w:rPr>
          <w:lang w:val="en-US"/>
        </w:rPr>
        <w:t>u</w:t>
      </w:r>
      <w:r w:rsidRPr="00961953">
        <w:rPr>
          <w:lang w:val="en-US"/>
        </w:rPr>
        <w:t xml:space="preserve"> 1993) and leaves aside other matters such as family, labor, and administrative litigation, among others.</w:t>
      </w:r>
    </w:p>
    <w:p w:rsidR="0017044A" w:rsidRDefault="0017044A" w:rsidP="00592E4A">
      <w:pPr>
        <w:jc w:val="both"/>
        <w:rPr>
          <w:lang w:val="en-US"/>
        </w:rPr>
      </w:pPr>
    </w:p>
    <w:p w:rsidR="00AC0CFB" w:rsidRDefault="0017044A" w:rsidP="00592E4A">
      <w:pPr>
        <w:jc w:val="both"/>
        <w:rPr>
          <w:lang w:val="en-US"/>
        </w:rPr>
      </w:pPr>
      <w:r w:rsidRPr="0017044A">
        <w:rPr>
          <w:lang w:val="en-US"/>
        </w:rPr>
        <w:lastRenderedPageBreak/>
        <w:t xml:space="preserve">Likewise, special reforms aimed at expediting some processes </w:t>
      </w:r>
      <w:r w:rsidR="003E720E" w:rsidRPr="0017044A">
        <w:rPr>
          <w:lang w:val="en-US"/>
        </w:rPr>
        <w:t xml:space="preserve">within </w:t>
      </w:r>
      <w:r w:rsidR="003E720E">
        <w:rPr>
          <w:lang w:val="en-US"/>
        </w:rPr>
        <w:t>the strict sense of civil justice stand out</w:t>
      </w:r>
      <w:r>
        <w:rPr>
          <w:lang w:val="en-US"/>
        </w:rPr>
        <w:t xml:space="preserve">. The incorporation of the following measures in said reforms are highlighted: (a) special procedures for debt collection and execution of monetary sentences; and (b) small claims procedures to resolve less complex disputes. </w:t>
      </w:r>
    </w:p>
    <w:p w:rsidR="00AC0CFB" w:rsidRDefault="00AC0CFB" w:rsidP="00592E4A">
      <w:pPr>
        <w:jc w:val="both"/>
        <w:rPr>
          <w:lang w:val="en-US"/>
        </w:rPr>
      </w:pPr>
    </w:p>
    <w:p w:rsidR="0017044A" w:rsidRDefault="0017044A" w:rsidP="00592E4A">
      <w:pPr>
        <w:jc w:val="both"/>
        <w:rPr>
          <w:lang w:val="en-US"/>
        </w:rPr>
      </w:pPr>
      <w:r>
        <w:rPr>
          <w:lang w:val="en-US"/>
        </w:rPr>
        <w:t xml:space="preserve">Regarding the former, important additions within these reforms include a type of </w:t>
      </w:r>
      <w:r w:rsidR="003E720E">
        <w:rPr>
          <w:lang w:val="en-US"/>
        </w:rPr>
        <w:t xml:space="preserve">small claims </w:t>
      </w:r>
      <w:r>
        <w:rPr>
          <w:lang w:val="en-US"/>
        </w:rPr>
        <w:t>civil justice that introduces</w:t>
      </w:r>
      <w:r w:rsidR="003E720E">
        <w:rPr>
          <w:lang w:val="en-US"/>
        </w:rPr>
        <w:t xml:space="preserve"> oral proceedings and</w:t>
      </w:r>
      <w:r>
        <w:rPr>
          <w:lang w:val="en-US"/>
        </w:rPr>
        <w:t xml:space="preserve"> </w:t>
      </w:r>
      <w:r w:rsidR="003E720E">
        <w:rPr>
          <w:lang w:val="en-US"/>
        </w:rPr>
        <w:t xml:space="preserve">purportedly </w:t>
      </w:r>
      <w:r>
        <w:rPr>
          <w:lang w:val="en-US"/>
        </w:rPr>
        <w:t xml:space="preserve">faster procedures </w:t>
      </w:r>
      <w:r w:rsidR="003E720E">
        <w:rPr>
          <w:lang w:val="en-US"/>
        </w:rPr>
        <w:t xml:space="preserve">for claims </w:t>
      </w:r>
      <w:r>
        <w:rPr>
          <w:lang w:val="en-US"/>
        </w:rPr>
        <w:t xml:space="preserve">that do not exceed a certain quantity (Brazil 1995, 2001) and a payment </w:t>
      </w:r>
      <w:r w:rsidR="00ED1F2B">
        <w:rPr>
          <w:lang w:val="en-US"/>
        </w:rPr>
        <w:t xml:space="preserve">monitoring </w:t>
      </w:r>
      <w:r>
        <w:rPr>
          <w:lang w:val="en-US"/>
        </w:rPr>
        <w:t xml:space="preserve">procedure for covering debts that </w:t>
      </w:r>
      <w:r w:rsidR="00ED1F2B">
        <w:rPr>
          <w:lang w:val="en-US"/>
        </w:rPr>
        <w:t>consists of</w:t>
      </w:r>
      <w:r>
        <w:rPr>
          <w:lang w:val="en-US"/>
        </w:rPr>
        <w:t xml:space="preserve"> </w:t>
      </w:r>
      <w:r w:rsidR="00ED1F2B">
        <w:rPr>
          <w:lang w:val="en-US"/>
        </w:rPr>
        <w:t>enforcement</w:t>
      </w:r>
      <w:r>
        <w:rPr>
          <w:lang w:val="en-US"/>
        </w:rPr>
        <w:t xml:space="preserve"> </w:t>
      </w:r>
      <w:r w:rsidR="00ED1F2B">
        <w:rPr>
          <w:lang w:val="en-US"/>
        </w:rPr>
        <w:t xml:space="preserve">orders </w:t>
      </w:r>
      <w:r>
        <w:rPr>
          <w:lang w:val="en-US"/>
        </w:rPr>
        <w:t xml:space="preserve">and, sometimes, </w:t>
      </w:r>
      <w:r w:rsidR="00ED1F2B">
        <w:rPr>
          <w:lang w:val="en-US"/>
        </w:rPr>
        <w:t>writs of execution</w:t>
      </w:r>
      <w:r>
        <w:rPr>
          <w:lang w:val="en-US"/>
        </w:rPr>
        <w:t xml:space="preserve"> (Uruguay 1989, Costa Rica 2008). According to the </w:t>
      </w:r>
      <w:r w:rsidR="00ED1F2B">
        <w:rPr>
          <w:lang w:val="en-US"/>
        </w:rPr>
        <w:t>monitoring</w:t>
      </w:r>
      <w:r>
        <w:rPr>
          <w:lang w:val="en-US"/>
        </w:rPr>
        <w:t xml:space="preserve"> procedure, once the judge has accepted the plaintiff’s demand and mandated payment—having previously verified the claim with supporting documents and evidence—the procedure moves to </w:t>
      </w:r>
      <w:r w:rsidR="00AC0CFB">
        <w:rPr>
          <w:lang w:val="en-US"/>
        </w:rPr>
        <w:t>a plenary proceeding</w:t>
      </w:r>
      <w:r>
        <w:rPr>
          <w:lang w:val="en-US"/>
        </w:rPr>
        <w:t xml:space="preserve"> (Uruguay) or a public hearing (Costa Rica).</w:t>
      </w:r>
    </w:p>
    <w:p w:rsidR="0017044A" w:rsidRDefault="0017044A" w:rsidP="00592E4A">
      <w:pPr>
        <w:jc w:val="both"/>
        <w:rPr>
          <w:lang w:val="en-US"/>
        </w:rPr>
      </w:pPr>
    </w:p>
    <w:p w:rsidR="0017044A" w:rsidRDefault="00AC0CFB" w:rsidP="00592E4A">
      <w:pPr>
        <w:jc w:val="both"/>
        <w:rPr>
          <w:lang w:val="en-US"/>
        </w:rPr>
      </w:pPr>
      <w:r>
        <w:rPr>
          <w:lang w:val="en-US"/>
        </w:rPr>
        <w:t>Regarding the latter, s</w:t>
      </w:r>
      <w:r w:rsidR="0017044A">
        <w:rPr>
          <w:lang w:val="en-US"/>
        </w:rPr>
        <w:t xml:space="preserve">mall claims procedures were created to promote access to justice, reduce litigation costs to the parties, and implement less complex procedures </w:t>
      </w:r>
      <w:r>
        <w:rPr>
          <w:lang w:val="en-US"/>
        </w:rPr>
        <w:t>that are in close proximity</w:t>
      </w:r>
      <w:r w:rsidR="0017044A">
        <w:rPr>
          <w:lang w:val="en-US"/>
        </w:rPr>
        <w:t xml:space="preserve"> to </w:t>
      </w:r>
      <w:r>
        <w:rPr>
          <w:lang w:val="en-US"/>
        </w:rPr>
        <w:t>citizens.</w:t>
      </w:r>
      <w:r w:rsidR="0017044A">
        <w:rPr>
          <w:lang w:val="en-US"/>
        </w:rPr>
        <w:t xml:space="preserve"> </w:t>
      </w:r>
      <w:r>
        <w:rPr>
          <w:lang w:val="en-US"/>
        </w:rPr>
        <w:t xml:space="preserve">These proceedings are expressed two different ways in the region. </w:t>
      </w:r>
      <w:r w:rsidR="0017044A">
        <w:rPr>
          <w:lang w:val="en-US"/>
        </w:rPr>
        <w:t>First, one expression of these procedures was designed to solve contractual and extra-contractual disputes of smaller sums, including</w:t>
      </w:r>
      <w:r w:rsidR="00396017">
        <w:rPr>
          <w:lang w:val="en-US"/>
        </w:rPr>
        <w:t xml:space="preserve"> the payment of debts (Brazil).</w:t>
      </w:r>
      <w:r w:rsidR="0017044A">
        <w:rPr>
          <w:lang w:val="en-US"/>
        </w:rPr>
        <w:t xml:space="preserve"> A second expression has aimed to solve local conflicts </w:t>
      </w:r>
      <w:r w:rsidR="0053789E">
        <w:rPr>
          <w:lang w:val="en-US"/>
        </w:rPr>
        <w:t xml:space="preserve">amicably by citizen-judges within neighborhoods or nearby regions. </w:t>
      </w:r>
      <w:r w:rsidR="0017044A">
        <w:rPr>
          <w:lang w:val="en-US"/>
        </w:rPr>
        <w:t>This last expression has two different aspects in the America</w:t>
      </w:r>
      <w:r w:rsidR="0053789E">
        <w:rPr>
          <w:lang w:val="en-US"/>
        </w:rPr>
        <w:t>s: (a) the justice of the peace</w:t>
      </w:r>
      <w:r w:rsidR="0017044A">
        <w:rPr>
          <w:lang w:val="en-US"/>
        </w:rPr>
        <w:t xml:space="preserve"> (different from many </w:t>
      </w:r>
      <w:r w:rsidR="0053789E">
        <w:rPr>
          <w:lang w:val="en-US"/>
        </w:rPr>
        <w:t>justice of the peace courts</w:t>
      </w:r>
      <w:r w:rsidR="0017044A">
        <w:rPr>
          <w:lang w:val="en-US"/>
        </w:rPr>
        <w:t xml:space="preserve"> which are courts of first instance in the region), whose citizen-judges resolve conflicts based on the criteria of equity, </w:t>
      </w:r>
      <w:r w:rsidR="0053789E">
        <w:rPr>
          <w:lang w:val="en-US"/>
        </w:rPr>
        <w:t>i.e.,</w:t>
      </w:r>
      <w:r w:rsidR="0017044A">
        <w:rPr>
          <w:lang w:val="en-US"/>
        </w:rPr>
        <w:t xml:space="preserve"> based on customs (Colombia, Peru, Venezuela); and (b) </w:t>
      </w:r>
      <w:r w:rsidR="0053789E">
        <w:rPr>
          <w:lang w:val="en-US"/>
        </w:rPr>
        <w:t>neighborhood justice</w:t>
      </w:r>
      <w:r w:rsidR="0017044A">
        <w:rPr>
          <w:lang w:val="en-US"/>
        </w:rPr>
        <w:t xml:space="preserve">, implemented in </w:t>
      </w:r>
      <w:r w:rsidR="0053789E">
        <w:rPr>
          <w:lang w:val="en-US"/>
        </w:rPr>
        <w:t xml:space="preserve">both </w:t>
      </w:r>
      <w:r w:rsidR="0017044A">
        <w:rPr>
          <w:lang w:val="en-US"/>
        </w:rPr>
        <w:t>urban and rural neig</w:t>
      </w:r>
      <w:r w:rsidR="0053789E">
        <w:rPr>
          <w:lang w:val="en-US"/>
        </w:rPr>
        <w:t>hborhoods, whose citizen-judges—who could be lawyers—</w:t>
      </w:r>
      <w:r w:rsidR="0017044A">
        <w:rPr>
          <w:lang w:val="en-US"/>
        </w:rPr>
        <w:t>resolve</w:t>
      </w:r>
      <w:r w:rsidR="0053789E">
        <w:rPr>
          <w:lang w:val="en-US"/>
        </w:rPr>
        <w:t xml:space="preserve"> legal</w:t>
      </w:r>
      <w:r w:rsidR="0017044A">
        <w:rPr>
          <w:lang w:val="en-US"/>
        </w:rPr>
        <w:t xml:space="preserve"> </w:t>
      </w:r>
      <w:r w:rsidR="0053789E">
        <w:rPr>
          <w:lang w:val="en-US"/>
        </w:rPr>
        <w:t>claims</w:t>
      </w:r>
      <w:r w:rsidR="0017044A">
        <w:rPr>
          <w:lang w:val="en-US"/>
        </w:rPr>
        <w:t xml:space="preserve"> </w:t>
      </w:r>
      <w:r w:rsidR="0053789E">
        <w:rPr>
          <w:lang w:val="en-US"/>
        </w:rPr>
        <w:t>through less formal procedures,</w:t>
      </w:r>
      <w:r w:rsidR="00D66F99">
        <w:rPr>
          <w:lang w:val="en-US"/>
        </w:rPr>
        <w:t xml:space="preserve"> at</w:t>
      </w:r>
      <w:r w:rsidR="0053789E">
        <w:rPr>
          <w:lang w:val="en-US"/>
        </w:rPr>
        <w:t xml:space="preserve"> </w:t>
      </w:r>
      <w:r w:rsidR="0017044A">
        <w:rPr>
          <w:lang w:val="en-US"/>
        </w:rPr>
        <w:t xml:space="preserve">closer </w:t>
      </w:r>
      <w:r w:rsidR="00D66F99">
        <w:rPr>
          <w:lang w:val="en-US"/>
        </w:rPr>
        <w:t xml:space="preserve">proximity </w:t>
      </w:r>
      <w:r w:rsidR="0017044A">
        <w:rPr>
          <w:lang w:val="en-US"/>
        </w:rPr>
        <w:t>to the population (Buenos Aires, Argentina).</w:t>
      </w:r>
    </w:p>
    <w:p w:rsidR="0017044A" w:rsidRPr="0017044A" w:rsidRDefault="0017044A" w:rsidP="00592E4A">
      <w:pPr>
        <w:jc w:val="both"/>
        <w:rPr>
          <w:b/>
          <w:lang w:val="en-US"/>
        </w:rPr>
      </w:pPr>
    </w:p>
    <w:p w:rsidR="00D66F99" w:rsidRDefault="0017044A" w:rsidP="00592E4A">
      <w:pPr>
        <w:pStyle w:val="Prrafodelista"/>
        <w:numPr>
          <w:ilvl w:val="1"/>
          <w:numId w:val="3"/>
        </w:numPr>
        <w:jc w:val="both"/>
        <w:rPr>
          <w:b/>
          <w:lang w:val="en-US"/>
        </w:rPr>
      </w:pPr>
      <w:r>
        <w:rPr>
          <w:b/>
          <w:lang w:val="en-US"/>
        </w:rPr>
        <w:t>Judicial system reforms that have an impact on civil justice</w:t>
      </w:r>
    </w:p>
    <w:p w:rsidR="00D025DE" w:rsidRPr="00D66F99" w:rsidRDefault="00D025DE" w:rsidP="00592E4A">
      <w:pPr>
        <w:pStyle w:val="Prrafodelista"/>
        <w:ind w:left="1440"/>
        <w:jc w:val="both"/>
        <w:rPr>
          <w:b/>
          <w:lang w:val="en-US"/>
        </w:rPr>
      </w:pPr>
    </w:p>
    <w:p w:rsidR="00D025DE" w:rsidRDefault="00D025DE" w:rsidP="00592E4A">
      <w:pPr>
        <w:jc w:val="both"/>
        <w:rPr>
          <w:lang w:val="en-US"/>
        </w:rPr>
      </w:pPr>
      <w:r>
        <w:rPr>
          <w:lang w:val="en-US"/>
        </w:rPr>
        <w:t xml:space="preserve">On the other hand, the second set of reforms initiated in the region—those designed </w:t>
      </w:r>
      <w:r w:rsidR="007059FE">
        <w:rPr>
          <w:lang w:val="en-US"/>
        </w:rPr>
        <w:t xml:space="preserve">for the overall justice system that have influenced </w:t>
      </w:r>
      <w:r>
        <w:rPr>
          <w:lang w:val="en-US"/>
        </w:rPr>
        <w:t>the civil sphere—</w:t>
      </w:r>
      <w:r w:rsidR="000B236A">
        <w:rPr>
          <w:lang w:val="en-US"/>
        </w:rPr>
        <w:t>feature</w:t>
      </w:r>
      <w:r w:rsidR="00396017">
        <w:rPr>
          <w:lang w:val="en-US"/>
        </w:rPr>
        <w:t xml:space="preserve"> two large areas of reform. </w:t>
      </w:r>
      <w:r>
        <w:rPr>
          <w:lang w:val="en-US"/>
        </w:rPr>
        <w:t xml:space="preserve">The first </w:t>
      </w:r>
      <w:r w:rsidR="00021314">
        <w:rPr>
          <w:lang w:val="en-US"/>
        </w:rPr>
        <w:t xml:space="preserve">is related to the </w:t>
      </w:r>
      <w:r w:rsidR="000B236A">
        <w:rPr>
          <w:lang w:val="en-US"/>
        </w:rPr>
        <w:t>removal of</w:t>
      </w:r>
      <w:r w:rsidR="00021314">
        <w:rPr>
          <w:lang w:val="en-US"/>
        </w:rPr>
        <w:t xml:space="preserve"> civil </w:t>
      </w:r>
      <w:r w:rsidR="000B236A">
        <w:rPr>
          <w:lang w:val="en-US"/>
        </w:rPr>
        <w:t xml:space="preserve">matters from the judicial sphere. </w:t>
      </w:r>
      <w:r w:rsidR="00021314">
        <w:rPr>
          <w:lang w:val="en-US"/>
        </w:rPr>
        <w:t xml:space="preserve">This implies the transfer of judicial functions to administrative channels and/or notary services, as well as the implementation of </w:t>
      </w:r>
      <w:r w:rsidR="000B236A">
        <w:rPr>
          <w:lang w:val="en-US"/>
        </w:rPr>
        <w:t>alternative</w:t>
      </w:r>
      <w:r w:rsidR="00021314">
        <w:rPr>
          <w:lang w:val="en-US"/>
        </w:rPr>
        <w:t xml:space="preserve"> </w:t>
      </w:r>
      <w:r w:rsidR="000B236A">
        <w:rPr>
          <w:lang w:val="en-US"/>
        </w:rPr>
        <w:t>dispute resolution mechanisms. First</w:t>
      </w:r>
      <w:r w:rsidR="00021314">
        <w:rPr>
          <w:lang w:val="en-US"/>
        </w:rPr>
        <w:t xml:space="preserve">, </w:t>
      </w:r>
      <w:r w:rsidR="00F4434E">
        <w:rPr>
          <w:lang w:val="en-US"/>
        </w:rPr>
        <w:t xml:space="preserve">the reforms established </w:t>
      </w:r>
      <w:r w:rsidR="005F7C6C">
        <w:rPr>
          <w:lang w:val="en-US"/>
        </w:rPr>
        <w:t>competition</w:t>
      </w:r>
      <w:r w:rsidR="00F4434E">
        <w:rPr>
          <w:lang w:val="en-US"/>
        </w:rPr>
        <w:t xml:space="preserve"> courts, notary systems and registrations in charge of certain issues (divorce, marital settlement, and changes to pr</w:t>
      </w:r>
      <w:r w:rsidR="00396017">
        <w:rPr>
          <w:lang w:val="en-US"/>
        </w:rPr>
        <w:t xml:space="preserve">operty records), among others. </w:t>
      </w:r>
      <w:r w:rsidR="005F7C6C">
        <w:rPr>
          <w:lang w:val="en-US"/>
        </w:rPr>
        <w:t>Second</w:t>
      </w:r>
      <w:r w:rsidR="00F4434E">
        <w:rPr>
          <w:lang w:val="en-US"/>
        </w:rPr>
        <w:t xml:space="preserve">, mechanisms to enable the parties were incorporated, as much in </w:t>
      </w:r>
      <w:r w:rsidR="005F7C6C">
        <w:rPr>
          <w:lang w:val="en-US"/>
        </w:rPr>
        <w:t xml:space="preserve">the </w:t>
      </w:r>
      <w:r w:rsidR="00F4434E">
        <w:rPr>
          <w:lang w:val="en-US"/>
        </w:rPr>
        <w:t xml:space="preserve">judicial scope as in </w:t>
      </w:r>
      <w:r w:rsidR="005F7C6C">
        <w:rPr>
          <w:lang w:val="en-US"/>
        </w:rPr>
        <w:t xml:space="preserve">the </w:t>
      </w:r>
      <w:r w:rsidR="00F4434E">
        <w:rPr>
          <w:lang w:val="en-US"/>
        </w:rPr>
        <w:t>non-judicial scope, to reconcile, mediate, arbitrate, or compromise</w:t>
      </w:r>
      <w:r w:rsidR="005F7C6C">
        <w:rPr>
          <w:lang w:val="en-US"/>
        </w:rPr>
        <w:t xml:space="preserve"> on</w:t>
      </w:r>
      <w:r w:rsidR="00F4434E">
        <w:rPr>
          <w:lang w:val="en-US"/>
        </w:rPr>
        <w:t xml:space="preserve"> some issues within the jurisdiction of civil justice.</w:t>
      </w:r>
    </w:p>
    <w:p w:rsidR="00F4434E" w:rsidRDefault="00F4434E" w:rsidP="00592E4A">
      <w:pPr>
        <w:jc w:val="both"/>
        <w:rPr>
          <w:lang w:val="en-US"/>
        </w:rPr>
      </w:pPr>
    </w:p>
    <w:p w:rsidR="00F70AC6" w:rsidRDefault="00F4434E" w:rsidP="00592E4A">
      <w:pPr>
        <w:jc w:val="both"/>
        <w:rPr>
          <w:lang w:val="en-US"/>
        </w:rPr>
      </w:pPr>
      <w:r>
        <w:rPr>
          <w:lang w:val="en-US"/>
        </w:rPr>
        <w:t xml:space="preserve">The second area of reforms </w:t>
      </w:r>
      <w:r w:rsidR="005F7C6C">
        <w:rPr>
          <w:lang w:val="en-US"/>
        </w:rPr>
        <w:t xml:space="preserve">is </w:t>
      </w:r>
      <w:r>
        <w:rPr>
          <w:lang w:val="en-US"/>
        </w:rPr>
        <w:t xml:space="preserve">related to the modernization of the justice systems in the region and the incorporation of </w:t>
      </w:r>
      <w:r w:rsidR="00887D43">
        <w:rPr>
          <w:lang w:val="en-US"/>
        </w:rPr>
        <w:t>effective judicial managem</w:t>
      </w:r>
      <w:r w:rsidR="00396017">
        <w:rPr>
          <w:lang w:val="en-US"/>
        </w:rPr>
        <w:t xml:space="preserve">ent and use of new technology. </w:t>
      </w:r>
      <w:r w:rsidR="00887D43">
        <w:rPr>
          <w:lang w:val="en-US"/>
        </w:rPr>
        <w:t xml:space="preserve">Among the most important changes in this matter are: the use of economies of scale in judicial offices, the professional administration of the justice system, the redefinition of the profile and roles of </w:t>
      </w:r>
      <w:r w:rsidR="005F7C6C">
        <w:rPr>
          <w:lang w:val="en-US"/>
        </w:rPr>
        <w:t>justice system</w:t>
      </w:r>
      <w:r w:rsidR="00887D43">
        <w:rPr>
          <w:lang w:val="en-US"/>
        </w:rPr>
        <w:t xml:space="preserve"> </w:t>
      </w:r>
      <w:r w:rsidR="005F7C6C">
        <w:rPr>
          <w:lang w:val="en-US"/>
        </w:rPr>
        <w:t>personnel</w:t>
      </w:r>
      <w:r w:rsidR="00887D43">
        <w:rPr>
          <w:lang w:val="en-US"/>
        </w:rPr>
        <w:t xml:space="preserve">, the use of new technology throughout all judicial processes, and the creation </w:t>
      </w:r>
      <w:r w:rsidR="00396017">
        <w:rPr>
          <w:lang w:val="en-US"/>
        </w:rPr>
        <w:t xml:space="preserve">of a virtual judicial process. </w:t>
      </w:r>
      <w:r w:rsidR="00887D43">
        <w:rPr>
          <w:lang w:val="en-US"/>
        </w:rPr>
        <w:t xml:space="preserve">Notwithstanding the above, there are still </w:t>
      </w:r>
      <w:r w:rsidR="005F7C6C">
        <w:rPr>
          <w:lang w:val="en-US"/>
        </w:rPr>
        <w:t>pending</w:t>
      </w:r>
      <w:r w:rsidR="00887D43">
        <w:rPr>
          <w:lang w:val="en-US"/>
        </w:rPr>
        <w:t xml:space="preserve"> challenges </w:t>
      </w:r>
      <w:r w:rsidR="005F7C6C">
        <w:rPr>
          <w:lang w:val="en-US"/>
        </w:rPr>
        <w:t>in</w:t>
      </w:r>
      <w:r w:rsidR="00887D43">
        <w:rPr>
          <w:lang w:val="en-US"/>
        </w:rPr>
        <w:t xml:space="preserve"> this area, as </w:t>
      </w:r>
      <w:r w:rsidR="005F7C6C">
        <w:rPr>
          <w:lang w:val="en-US"/>
        </w:rPr>
        <w:t>judicial systems still lack</w:t>
      </w:r>
      <w:r w:rsidR="00887D43">
        <w:rPr>
          <w:lang w:val="en-US"/>
        </w:rPr>
        <w:t xml:space="preserve"> effe</w:t>
      </w:r>
      <w:r w:rsidR="005F7C6C">
        <w:rPr>
          <w:lang w:val="en-US"/>
        </w:rPr>
        <w:t>ctive and systematic management</w:t>
      </w:r>
      <w:r w:rsidR="00887D43">
        <w:rPr>
          <w:lang w:val="en-US"/>
        </w:rPr>
        <w:t>.</w:t>
      </w:r>
    </w:p>
    <w:p w:rsidR="00784BEF" w:rsidRDefault="00784BEF" w:rsidP="00592E4A">
      <w:pPr>
        <w:jc w:val="both"/>
        <w:rPr>
          <w:lang w:val="en-US"/>
        </w:rPr>
      </w:pPr>
    </w:p>
    <w:p w:rsidR="00D46014" w:rsidRPr="00D46014" w:rsidRDefault="00D46014" w:rsidP="00592E4A">
      <w:pPr>
        <w:ind w:left="1080" w:hanging="360"/>
        <w:jc w:val="both"/>
        <w:rPr>
          <w:b/>
          <w:lang w:val="en-US"/>
        </w:rPr>
      </w:pPr>
      <w:r w:rsidRPr="00D46014">
        <w:rPr>
          <w:b/>
          <w:lang w:val="en-US"/>
        </w:rPr>
        <w:lastRenderedPageBreak/>
        <w:tab/>
        <w:t>c.</w:t>
      </w:r>
      <w:r w:rsidRPr="00D46014">
        <w:rPr>
          <w:b/>
          <w:lang w:val="en-US"/>
        </w:rPr>
        <w:tab/>
        <w:t>Ongoing reform processes</w:t>
      </w:r>
    </w:p>
    <w:p w:rsidR="00F70AC6" w:rsidRDefault="00F70AC6" w:rsidP="00592E4A">
      <w:pPr>
        <w:tabs>
          <w:tab w:val="left" w:pos="7200"/>
        </w:tabs>
        <w:jc w:val="both"/>
        <w:rPr>
          <w:lang w:val="en-US"/>
        </w:rPr>
      </w:pPr>
    </w:p>
    <w:p w:rsidR="00B60228" w:rsidRPr="00B60228" w:rsidRDefault="00B60228" w:rsidP="00592E4A">
      <w:pPr>
        <w:jc w:val="both"/>
        <w:rPr>
          <w:lang w:val="en-US"/>
        </w:rPr>
      </w:pPr>
      <w:r w:rsidRPr="00B60228">
        <w:rPr>
          <w:lang w:val="en-US"/>
        </w:rPr>
        <w:t xml:space="preserve">Civil justice reform projects, or plans for such, are </w:t>
      </w:r>
      <w:r w:rsidR="00242C10">
        <w:rPr>
          <w:lang w:val="en-US"/>
        </w:rPr>
        <w:t>currently</w:t>
      </w:r>
      <w:r w:rsidRPr="00B60228">
        <w:rPr>
          <w:lang w:val="en-US"/>
        </w:rPr>
        <w:t xml:space="preserve"> being discussed in va</w:t>
      </w:r>
      <w:r w:rsidR="00242C10">
        <w:rPr>
          <w:lang w:val="en-US"/>
        </w:rPr>
        <w:t>rious Latin American countries.</w:t>
      </w:r>
      <w:r w:rsidRPr="00B60228">
        <w:rPr>
          <w:lang w:val="en-US"/>
        </w:rPr>
        <w:t xml:space="preserve"> Said projects aim to be comprehensive (Colombia and Costa Rica, for example) or modify currently independent civil issues (la</w:t>
      </w:r>
      <w:r w:rsidR="00242C10">
        <w:rPr>
          <w:lang w:val="en-US"/>
        </w:rPr>
        <w:t>bor law in Peru, for example). Likewise</w:t>
      </w:r>
      <w:r w:rsidRPr="00B60228">
        <w:rPr>
          <w:lang w:val="en-US"/>
        </w:rPr>
        <w:t>, the projects that have sought to modernize the civil justice system—those that consider new forms of judicial organization and the incorporation of information and communication technologies, among others—remain in force.</w:t>
      </w:r>
    </w:p>
    <w:p w:rsidR="00B60228" w:rsidRPr="00B60228" w:rsidRDefault="00B60228" w:rsidP="00592E4A">
      <w:pPr>
        <w:jc w:val="both"/>
        <w:rPr>
          <w:lang w:val="en-US"/>
        </w:rPr>
      </w:pPr>
    </w:p>
    <w:p w:rsidR="00B60228" w:rsidRDefault="00B60228" w:rsidP="00592E4A">
      <w:pPr>
        <w:jc w:val="both"/>
        <w:rPr>
          <w:lang w:val="en-US"/>
        </w:rPr>
      </w:pPr>
      <w:r w:rsidRPr="00B60228">
        <w:rPr>
          <w:lang w:val="en-US"/>
        </w:rPr>
        <w:t>However,</w:t>
      </w:r>
      <w:r w:rsidR="00396017">
        <w:rPr>
          <w:lang w:val="en-US"/>
        </w:rPr>
        <w:t xml:space="preserve"> </w:t>
      </w:r>
      <w:r w:rsidRPr="00B60228">
        <w:rPr>
          <w:lang w:val="en-US"/>
        </w:rPr>
        <w:t xml:space="preserve">although civil justice reform </w:t>
      </w:r>
      <w:r w:rsidR="00242C10">
        <w:rPr>
          <w:lang w:val="en-US"/>
        </w:rPr>
        <w:t>is in progress</w:t>
      </w:r>
      <w:r w:rsidRPr="00B60228">
        <w:rPr>
          <w:lang w:val="en-US"/>
        </w:rPr>
        <w:t xml:space="preserve"> (t</w:t>
      </w:r>
      <w:r w:rsidR="00243992">
        <w:rPr>
          <w:lang w:val="en-US"/>
        </w:rPr>
        <w:t>o a greater or lesser extent) throughout</w:t>
      </w:r>
      <w:r w:rsidRPr="00B60228">
        <w:rPr>
          <w:lang w:val="en-US"/>
        </w:rPr>
        <w:t xml:space="preserve"> Latin America, </w:t>
      </w:r>
      <w:r w:rsidR="00242C10">
        <w:rPr>
          <w:lang w:val="en-US"/>
        </w:rPr>
        <w:t>a</w:t>
      </w:r>
      <w:r w:rsidRPr="00B60228">
        <w:rPr>
          <w:lang w:val="en-US"/>
        </w:rPr>
        <w:t xml:space="preserve"> comprehensive and effective refor</w:t>
      </w:r>
      <w:r w:rsidR="00242C10">
        <w:rPr>
          <w:lang w:val="en-US"/>
        </w:rPr>
        <w:t>m is, in some places, pending</w:t>
      </w:r>
      <w:r w:rsidR="00243992">
        <w:rPr>
          <w:lang w:val="en-US"/>
        </w:rPr>
        <w:t xml:space="preserve">. </w:t>
      </w:r>
      <w:r w:rsidRPr="00B60228">
        <w:rPr>
          <w:lang w:val="en-US"/>
        </w:rPr>
        <w:t xml:space="preserve">In effect, what is still pending is a set of reforms that, </w:t>
      </w:r>
      <w:r w:rsidR="00F255AA">
        <w:rPr>
          <w:lang w:val="en-US"/>
        </w:rPr>
        <w:t>in addition to</w:t>
      </w:r>
      <w:r w:rsidRPr="00B60228">
        <w:rPr>
          <w:lang w:val="en-US"/>
        </w:rPr>
        <w:t xml:space="preserve"> containing regulator</w:t>
      </w:r>
      <w:r w:rsidR="00243992">
        <w:rPr>
          <w:lang w:val="en-US"/>
        </w:rPr>
        <w:t>y designs that establish oral proceedings, immediacy, and less formal and speedy processes</w:t>
      </w:r>
      <w:r w:rsidRPr="00B60228">
        <w:rPr>
          <w:lang w:val="en-US"/>
        </w:rPr>
        <w:t>, include concret</w:t>
      </w:r>
      <w:r w:rsidR="00243992">
        <w:rPr>
          <w:lang w:val="en-US"/>
        </w:rPr>
        <w:t>e tools for its implementation.</w:t>
      </w:r>
      <w:r w:rsidRPr="00B60228">
        <w:rPr>
          <w:lang w:val="en-US"/>
        </w:rPr>
        <w:t xml:space="preserve"> </w:t>
      </w:r>
      <w:r w:rsidR="00243992">
        <w:rPr>
          <w:lang w:val="en-US"/>
        </w:rPr>
        <w:t xml:space="preserve">What </w:t>
      </w:r>
      <w:proofErr w:type="gramStart"/>
      <w:r w:rsidR="00AD71E6">
        <w:rPr>
          <w:lang w:val="en-US"/>
        </w:rPr>
        <w:t>remains</w:t>
      </w:r>
      <w:proofErr w:type="gramEnd"/>
      <w:r w:rsidR="00AD71E6">
        <w:rPr>
          <w:lang w:val="en-US"/>
        </w:rPr>
        <w:t xml:space="preserve"> to be seen in these reforms is</w:t>
      </w:r>
      <w:r w:rsidRPr="00B60228">
        <w:rPr>
          <w:lang w:val="en-US"/>
        </w:rPr>
        <w:t xml:space="preserve"> the real incorporation of management mechanisms and the use of new technologies that allow for the execution of proced</w:t>
      </w:r>
      <w:r w:rsidR="00AD71E6">
        <w:rPr>
          <w:lang w:val="en-US"/>
        </w:rPr>
        <w:t>ural changes</w:t>
      </w:r>
      <w:r w:rsidR="00243992">
        <w:rPr>
          <w:lang w:val="en-US"/>
        </w:rPr>
        <w:t>.</w:t>
      </w:r>
      <w:r w:rsidRPr="00B60228">
        <w:rPr>
          <w:lang w:val="en-US"/>
        </w:rPr>
        <w:t xml:space="preserve"> </w:t>
      </w:r>
      <w:r w:rsidR="00891A55">
        <w:rPr>
          <w:lang w:val="en-US"/>
        </w:rPr>
        <w:t xml:space="preserve">What is still outstanding is </w:t>
      </w:r>
      <w:r w:rsidRPr="00B60228">
        <w:rPr>
          <w:lang w:val="en-US"/>
        </w:rPr>
        <w:t xml:space="preserve">a </w:t>
      </w:r>
      <w:r w:rsidR="00F255AA">
        <w:rPr>
          <w:lang w:val="en-US"/>
        </w:rPr>
        <w:t>thorough</w:t>
      </w:r>
      <w:r w:rsidRPr="00B60228">
        <w:rPr>
          <w:lang w:val="en-US"/>
        </w:rPr>
        <w:t xml:space="preserve"> review of citizens’ access to justice, the costs and procedures associated with this access, and the possibility that the cases they bring forward are heard</w:t>
      </w:r>
      <w:r w:rsidR="00F255AA">
        <w:rPr>
          <w:lang w:val="en-US"/>
        </w:rPr>
        <w:t xml:space="preserve"> through </w:t>
      </w:r>
      <w:proofErr w:type="spellStart"/>
      <w:r w:rsidR="00F255AA">
        <w:rPr>
          <w:lang w:val="en-US"/>
        </w:rPr>
        <w:t>nonjudicial</w:t>
      </w:r>
      <w:proofErr w:type="spellEnd"/>
      <w:r w:rsidR="00F255AA">
        <w:rPr>
          <w:lang w:val="en-US"/>
        </w:rPr>
        <w:t xml:space="preserve"> processes </w:t>
      </w:r>
      <w:r w:rsidRPr="00B60228">
        <w:rPr>
          <w:lang w:val="en-US"/>
        </w:rPr>
        <w:t xml:space="preserve">or are resolved </w:t>
      </w:r>
      <w:r w:rsidR="00AD71E6">
        <w:rPr>
          <w:lang w:val="en-US"/>
        </w:rPr>
        <w:t xml:space="preserve">through less formal processes. </w:t>
      </w:r>
      <w:r w:rsidRPr="00B60228">
        <w:rPr>
          <w:lang w:val="en-US"/>
        </w:rPr>
        <w:t>What is still missing is an evaluation of reforms currently under way, taking into account lessons learned and verifying what is still needed for the proper functioni</w:t>
      </w:r>
      <w:r w:rsidR="0042136D">
        <w:rPr>
          <w:lang w:val="en-US"/>
        </w:rPr>
        <w:t>ng of the civil justice system.</w:t>
      </w:r>
      <w:r w:rsidRPr="00B60228">
        <w:rPr>
          <w:lang w:val="en-US"/>
        </w:rPr>
        <w:t xml:space="preserve"> And finally, what is still pending is </w:t>
      </w:r>
      <w:proofErr w:type="gramStart"/>
      <w:r w:rsidR="0042136D">
        <w:rPr>
          <w:lang w:val="en-US"/>
        </w:rPr>
        <w:t>a verification</w:t>
      </w:r>
      <w:proofErr w:type="gramEnd"/>
      <w:r w:rsidR="00891A55">
        <w:rPr>
          <w:lang w:val="en-US"/>
        </w:rPr>
        <w:t xml:space="preserve"> that</w:t>
      </w:r>
      <w:r w:rsidRPr="00B60228">
        <w:rPr>
          <w:lang w:val="en-US"/>
        </w:rPr>
        <w:t xml:space="preserve"> the focus of the ongoing reforms has been the most adequate one.</w:t>
      </w:r>
    </w:p>
    <w:p w:rsidR="00D46014" w:rsidRDefault="00D46014" w:rsidP="00592E4A">
      <w:pPr>
        <w:tabs>
          <w:tab w:val="left" w:pos="7200"/>
        </w:tabs>
        <w:jc w:val="both"/>
        <w:rPr>
          <w:lang w:val="en-US"/>
        </w:rPr>
      </w:pPr>
    </w:p>
    <w:p w:rsidR="00887D43" w:rsidRPr="0057685E" w:rsidRDefault="0057685E" w:rsidP="00592E4A">
      <w:pPr>
        <w:jc w:val="both"/>
        <w:rPr>
          <w:b/>
          <w:lang w:val="en-US"/>
        </w:rPr>
      </w:pPr>
      <w:r>
        <w:rPr>
          <w:b/>
          <w:lang w:val="en-US"/>
        </w:rPr>
        <w:t>Suggested bibliography</w:t>
      </w:r>
    </w:p>
    <w:p w:rsidR="00887D43" w:rsidRDefault="00887D43" w:rsidP="00592E4A">
      <w:pPr>
        <w:jc w:val="both"/>
        <w:rPr>
          <w:lang w:val="en-US"/>
        </w:rPr>
      </w:pPr>
    </w:p>
    <w:p w:rsidR="00DA1EB5" w:rsidRPr="0057685E" w:rsidRDefault="00DA1EB5" w:rsidP="00592E4A">
      <w:pPr>
        <w:ind w:left="360"/>
        <w:jc w:val="both"/>
        <w:rPr>
          <w:lang w:val="en-US"/>
        </w:rPr>
      </w:pPr>
      <w:r w:rsidRPr="0057685E">
        <w:rPr>
          <w:lang w:val="en-US"/>
        </w:rPr>
        <w:t>JSCA, “Report on Justice in the Americas 2</w:t>
      </w:r>
      <w:r w:rsidR="00396017">
        <w:rPr>
          <w:lang w:val="en-US"/>
        </w:rPr>
        <w:t xml:space="preserve">008-2009,” Chile, 2009. </w:t>
      </w:r>
      <w:r w:rsidR="00396017" w:rsidRPr="0057685E">
        <w:rPr>
          <w:lang w:val="en-US"/>
        </w:rPr>
        <w:t xml:space="preserve">Available in </w:t>
      </w:r>
      <w:r w:rsidR="00396017">
        <w:rPr>
          <w:lang w:val="en-US"/>
        </w:rPr>
        <w:t>JSCA’s</w:t>
      </w:r>
      <w:r w:rsidR="00396017" w:rsidRPr="0057685E">
        <w:rPr>
          <w:lang w:val="en-US"/>
        </w:rPr>
        <w:t xml:space="preserve"> virtual library</w:t>
      </w:r>
      <w:r w:rsidRPr="0057685E">
        <w:rPr>
          <w:lang w:val="en-US"/>
        </w:rPr>
        <w:t>: www.cejamericas.org</w:t>
      </w:r>
      <w:r w:rsidR="00396017">
        <w:rPr>
          <w:lang w:val="en-US"/>
        </w:rPr>
        <w:t>.</w:t>
      </w:r>
    </w:p>
    <w:p w:rsidR="0057685E" w:rsidRPr="0057685E" w:rsidRDefault="0057685E" w:rsidP="00592E4A">
      <w:pPr>
        <w:ind w:left="360"/>
        <w:jc w:val="both"/>
        <w:rPr>
          <w:lang w:val="en-US"/>
        </w:rPr>
      </w:pPr>
    </w:p>
    <w:p w:rsidR="00DA1EB5" w:rsidRPr="0057685E" w:rsidRDefault="00DA1EB5" w:rsidP="00592E4A">
      <w:pPr>
        <w:ind w:left="360"/>
        <w:jc w:val="both"/>
        <w:rPr>
          <w:lang w:val="en-US"/>
        </w:rPr>
      </w:pPr>
      <w:r w:rsidRPr="0057685E">
        <w:rPr>
          <w:lang w:val="en-US"/>
        </w:rPr>
        <w:t xml:space="preserve">JSCA, “Comparative Study: Advances toward Civil Justice Reform in Latin America and the Caribbean,” published in “New Civil Justice for Latin America: Support </w:t>
      </w:r>
      <w:r w:rsidR="002E6783" w:rsidRPr="0057685E">
        <w:rPr>
          <w:lang w:val="en-US"/>
        </w:rPr>
        <w:t>for reform,” Chile, August 2007.</w:t>
      </w:r>
    </w:p>
    <w:p w:rsidR="0057685E" w:rsidRPr="0057685E" w:rsidRDefault="0057685E" w:rsidP="00592E4A">
      <w:pPr>
        <w:ind w:left="360"/>
        <w:jc w:val="both"/>
        <w:rPr>
          <w:lang w:val="en-US"/>
        </w:rPr>
      </w:pPr>
    </w:p>
    <w:p w:rsidR="002E6783" w:rsidRPr="0057685E" w:rsidRDefault="002E6783" w:rsidP="00592E4A">
      <w:pPr>
        <w:ind w:left="360"/>
        <w:jc w:val="both"/>
        <w:rPr>
          <w:lang w:val="en-US"/>
        </w:rPr>
      </w:pPr>
      <w:r w:rsidRPr="0057685E">
        <w:rPr>
          <w:lang w:val="en-US"/>
        </w:rPr>
        <w:t>VILLADIEGO, Carolina, “Comparative study: Small claims civil justice in the Americas,” published in “Civil justice: perspectives for reform in Latin America,” by the Justice Studies Center of the</w:t>
      </w:r>
      <w:r w:rsidR="00396017">
        <w:rPr>
          <w:lang w:val="en-US"/>
        </w:rPr>
        <w:t xml:space="preserve"> Americas, Chile, August 2008. </w:t>
      </w:r>
      <w:r w:rsidRPr="0057685E">
        <w:rPr>
          <w:lang w:val="en-US"/>
        </w:rPr>
        <w:t xml:space="preserve">Available </w:t>
      </w:r>
      <w:r w:rsidR="00891A55" w:rsidRPr="0057685E">
        <w:rPr>
          <w:lang w:val="en-US"/>
        </w:rPr>
        <w:t xml:space="preserve">in </w:t>
      </w:r>
      <w:r w:rsidR="00396017">
        <w:rPr>
          <w:lang w:val="en-US"/>
        </w:rPr>
        <w:t>JSCA’s</w:t>
      </w:r>
      <w:r w:rsidR="00891A55" w:rsidRPr="0057685E">
        <w:rPr>
          <w:lang w:val="en-US"/>
        </w:rPr>
        <w:t xml:space="preserve"> virtual library</w:t>
      </w:r>
      <w:r w:rsidRPr="0057685E">
        <w:rPr>
          <w:lang w:val="en-US"/>
        </w:rPr>
        <w:t>: www.</w:t>
      </w:r>
      <w:r w:rsidR="007A08A1">
        <w:rPr>
          <w:lang w:val="en-US"/>
        </w:rPr>
        <w:t>cejamericas.org.</w:t>
      </w:r>
    </w:p>
    <w:p w:rsidR="0057685E" w:rsidRPr="0057685E" w:rsidRDefault="0057685E" w:rsidP="00592E4A">
      <w:pPr>
        <w:ind w:left="360"/>
        <w:jc w:val="both"/>
        <w:rPr>
          <w:lang w:val="en-US"/>
        </w:rPr>
      </w:pPr>
    </w:p>
    <w:p w:rsidR="002E6783" w:rsidRPr="0057685E" w:rsidRDefault="002E6783" w:rsidP="00592E4A">
      <w:pPr>
        <w:ind w:left="360"/>
        <w:jc w:val="both"/>
        <w:rPr>
          <w:lang w:val="en-US"/>
        </w:rPr>
      </w:pPr>
      <w:r w:rsidRPr="0057685E">
        <w:rPr>
          <w:lang w:val="en-US"/>
        </w:rPr>
        <w:t xml:space="preserve">VILLADIEGO, Carolina, “Civil Justice Reform in Latin America: A matter that has been in </w:t>
      </w:r>
      <w:proofErr w:type="gramStart"/>
      <w:r w:rsidRPr="0057685E">
        <w:rPr>
          <w:lang w:val="en-US"/>
        </w:rPr>
        <w:t>march</w:t>
      </w:r>
      <w:proofErr w:type="gramEnd"/>
      <w:r w:rsidRPr="0057685E">
        <w:rPr>
          <w:lang w:val="en-US"/>
        </w:rPr>
        <w:t xml:space="preserve">… but continues failing,” July 2008. Available online in </w:t>
      </w:r>
      <w:r w:rsidR="00396017">
        <w:rPr>
          <w:lang w:val="en-US"/>
        </w:rPr>
        <w:t>JSCA’s</w:t>
      </w:r>
      <w:r w:rsidRPr="0057685E">
        <w:rPr>
          <w:lang w:val="en-US"/>
        </w:rPr>
        <w:t xml:space="preserve"> virtual library: www.cejamericas.org</w:t>
      </w:r>
      <w:r w:rsidR="007A08A1">
        <w:rPr>
          <w:lang w:val="en-US"/>
        </w:rPr>
        <w:t>.</w:t>
      </w:r>
    </w:p>
    <w:p w:rsidR="0057685E" w:rsidRPr="0057685E" w:rsidRDefault="0057685E" w:rsidP="00592E4A">
      <w:pPr>
        <w:ind w:left="360"/>
        <w:jc w:val="both"/>
        <w:rPr>
          <w:lang w:val="en-US"/>
        </w:rPr>
      </w:pPr>
    </w:p>
    <w:p w:rsidR="002E6783" w:rsidRPr="0057685E" w:rsidRDefault="002E6783" w:rsidP="00592E4A">
      <w:pPr>
        <w:ind w:left="360"/>
        <w:jc w:val="both"/>
        <w:rPr>
          <w:lang w:val="en-US"/>
        </w:rPr>
      </w:pPr>
      <w:r w:rsidRPr="0057685E">
        <w:rPr>
          <w:lang w:val="en-US"/>
        </w:rPr>
        <w:t xml:space="preserve">WORLD BANK AND INTERNATIONAL FINANCE </w:t>
      </w:r>
      <w:r w:rsidR="00891A55">
        <w:rPr>
          <w:lang w:val="en-US"/>
        </w:rPr>
        <w:t>CORPORATION, Doing Business 2011</w:t>
      </w:r>
      <w:r w:rsidRPr="0057685E">
        <w:rPr>
          <w:lang w:val="en-US"/>
        </w:rPr>
        <w:t xml:space="preserve">, Caribbean Status and Latin America, Washington, </w:t>
      </w:r>
      <w:r w:rsidR="00891A55">
        <w:rPr>
          <w:lang w:val="en-US"/>
        </w:rPr>
        <w:t>DC, 2010</w:t>
      </w:r>
      <w:r w:rsidRPr="0057685E">
        <w:rPr>
          <w:lang w:val="en-US"/>
        </w:rPr>
        <w:t>.</w:t>
      </w:r>
    </w:p>
    <w:sectPr w:rsidR="002E6783" w:rsidRPr="0057685E" w:rsidSect="007D3599">
      <w:headerReference w:type="default" r:id="rId12"/>
      <w:footerReference w:type="default" r:id="rId13"/>
      <w:pgSz w:w="11906" w:h="16838"/>
      <w:pgMar w:top="1440" w:right="1440" w:bottom="1440" w:left="1584" w:header="706" w:footer="706"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26696" w:rsidRDefault="00C26696" w:rsidP="00BA6D3B">
      <w:r>
        <w:separator/>
      </w:r>
    </w:p>
  </w:endnote>
  <w:endnote w:type="continuationSeparator" w:id="0">
    <w:p w:rsidR="00C26696" w:rsidRDefault="00C26696" w:rsidP="00BA6D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6D4D" w:rsidRDefault="00C26696">
    <w:pPr>
      <w:pStyle w:val="Piedepgina"/>
      <w:jc w:val="right"/>
    </w:pPr>
    <w:r>
      <w:fldChar w:fldCharType="begin"/>
    </w:r>
    <w:r>
      <w:instrText xml:space="preserve"> PAGE   \* MERGEFORMAT </w:instrText>
    </w:r>
    <w:r>
      <w:fldChar w:fldCharType="separate"/>
    </w:r>
    <w:r w:rsidR="00196444">
      <w:rPr>
        <w:noProof/>
      </w:rPr>
      <w:t>1</w:t>
    </w:r>
    <w:r>
      <w:rPr>
        <w:noProof/>
      </w:rPr>
      <w:fldChar w:fldCharType="end"/>
    </w:r>
  </w:p>
  <w:p w:rsidR="00846D4D" w:rsidRDefault="00846D4D">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26696" w:rsidRDefault="00C26696" w:rsidP="00BA6D3B">
      <w:r>
        <w:separator/>
      </w:r>
    </w:p>
  </w:footnote>
  <w:footnote w:type="continuationSeparator" w:id="0">
    <w:p w:rsidR="00C26696" w:rsidRDefault="00C26696" w:rsidP="00BA6D3B">
      <w:r>
        <w:continuationSeparator/>
      </w:r>
    </w:p>
  </w:footnote>
  <w:footnote w:id="1">
    <w:p w:rsidR="00846D4D" w:rsidRPr="00322A11" w:rsidRDefault="00846D4D" w:rsidP="00322A11">
      <w:pPr>
        <w:jc w:val="both"/>
        <w:rPr>
          <w:sz w:val="20"/>
          <w:szCs w:val="20"/>
          <w:lang w:val="en-US"/>
        </w:rPr>
      </w:pPr>
      <w:r w:rsidRPr="00FA5E94">
        <w:rPr>
          <w:rStyle w:val="Refdenotaalpie"/>
          <w:sz w:val="20"/>
          <w:szCs w:val="20"/>
        </w:rPr>
        <w:footnoteRef/>
      </w:r>
      <w:r w:rsidRPr="00FA5E94">
        <w:rPr>
          <w:sz w:val="20"/>
          <w:szCs w:val="20"/>
          <w:lang w:val="en-US"/>
        </w:rPr>
        <w:t xml:space="preserve"> I have set out the ideas presented within this paper in other documents that I have previously authored.  Moreover, this paper has been prepared using documents of my authorship and others from the Justice Studies Center of the Americas.  Included among those of my authorship are: </w:t>
      </w:r>
      <w:proofErr w:type="spellStart"/>
      <w:r w:rsidRPr="00FA5E94">
        <w:rPr>
          <w:sz w:val="20"/>
          <w:szCs w:val="20"/>
          <w:lang w:val="en-US"/>
        </w:rPr>
        <w:t>Villadiego</w:t>
      </w:r>
      <w:proofErr w:type="spellEnd"/>
      <w:r w:rsidRPr="00FA5E94">
        <w:rPr>
          <w:sz w:val="20"/>
          <w:szCs w:val="20"/>
          <w:lang w:val="en-US"/>
        </w:rPr>
        <w:t xml:space="preserve">, Carolina, “Comparative Study: Advances toward Civil Justice Reform in Latin America and the Caribbean,” in: “New Civil Justice for Latin America: Support for Reform,” Chile, August 2007, pp. 17-63; and </w:t>
      </w:r>
      <w:proofErr w:type="spellStart"/>
      <w:r w:rsidRPr="00FA5E94">
        <w:rPr>
          <w:sz w:val="20"/>
          <w:szCs w:val="20"/>
          <w:lang w:val="en-US"/>
        </w:rPr>
        <w:t>Villadiego</w:t>
      </w:r>
      <w:proofErr w:type="spellEnd"/>
      <w:r w:rsidRPr="00FA5E94">
        <w:rPr>
          <w:sz w:val="20"/>
          <w:szCs w:val="20"/>
          <w:lang w:val="en-US"/>
        </w:rPr>
        <w:t>, Carolina, “</w:t>
      </w:r>
      <w:proofErr w:type="spellStart"/>
      <w:r w:rsidRPr="00FA5E94">
        <w:rPr>
          <w:sz w:val="20"/>
          <w:szCs w:val="20"/>
          <w:lang w:val="en-US"/>
        </w:rPr>
        <w:t>Reforma</w:t>
      </w:r>
      <w:proofErr w:type="spellEnd"/>
      <w:r w:rsidRPr="00FA5E94">
        <w:rPr>
          <w:sz w:val="20"/>
          <w:szCs w:val="20"/>
          <w:lang w:val="en-US"/>
        </w:rPr>
        <w:t xml:space="preserve"> a la </w:t>
      </w:r>
      <w:proofErr w:type="spellStart"/>
      <w:r w:rsidRPr="00FA5E94">
        <w:rPr>
          <w:sz w:val="20"/>
          <w:szCs w:val="20"/>
          <w:lang w:val="en-US"/>
        </w:rPr>
        <w:t>Justicia</w:t>
      </w:r>
      <w:proofErr w:type="spellEnd"/>
      <w:r w:rsidRPr="00FA5E94">
        <w:rPr>
          <w:sz w:val="20"/>
          <w:szCs w:val="20"/>
          <w:lang w:val="en-US"/>
        </w:rPr>
        <w:t xml:space="preserve"> Civil en America Latina: un </w:t>
      </w:r>
      <w:proofErr w:type="spellStart"/>
      <w:r w:rsidRPr="00FA5E94">
        <w:rPr>
          <w:sz w:val="20"/>
          <w:szCs w:val="20"/>
          <w:lang w:val="en-US"/>
        </w:rPr>
        <w:t>asunto</w:t>
      </w:r>
      <w:proofErr w:type="spellEnd"/>
      <w:r w:rsidRPr="00FA5E94">
        <w:rPr>
          <w:sz w:val="20"/>
          <w:szCs w:val="20"/>
          <w:lang w:val="en-US"/>
        </w:rPr>
        <w:t xml:space="preserve"> </w:t>
      </w:r>
      <w:proofErr w:type="spellStart"/>
      <w:r w:rsidRPr="00FA5E94">
        <w:rPr>
          <w:sz w:val="20"/>
          <w:szCs w:val="20"/>
          <w:lang w:val="en-US"/>
        </w:rPr>
        <w:t>que</w:t>
      </w:r>
      <w:proofErr w:type="spellEnd"/>
      <w:r w:rsidRPr="00FA5E94">
        <w:rPr>
          <w:sz w:val="20"/>
          <w:szCs w:val="20"/>
          <w:lang w:val="en-US"/>
        </w:rPr>
        <w:t xml:space="preserve"> ha </w:t>
      </w:r>
      <w:proofErr w:type="spellStart"/>
      <w:r w:rsidRPr="00FA5E94">
        <w:rPr>
          <w:sz w:val="20"/>
          <w:szCs w:val="20"/>
          <w:lang w:val="en-US"/>
        </w:rPr>
        <w:t>estado</w:t>
      </w:r>
      <w:proofErr w:type="spellEnd"/>
      <w:r w:rsidRPr="00FA5E94">
        <w:rPr>
          <w:sz w:val="20"/>
          <w:szCs w:val="20"/>
          <w:lang w:val="en-US"/>
        </w:rPr>
        <w:t xml:space="preserve"> en </w:t>
      </w:r>
      <w:proofErr w:type="spellStart"/>
      <w:r w:rsidRPr="00FA5E94">
        <w:rPr>
          <w:sz w:val="20"/>
          <w:szCs w:val="20"/>
          <w:lang w:val="en-US"/>
        </w:rPr>
        <w:t>marcha</w:t>
      </w:r>
      <w:proofErr w:type="spellEnd"/>
      <w:r w:rsidRPr="00FA5E94">
        <w:rPr>
          <w:sz w:val="20"/>
          <w:szCs w:val="20"/>
          <w:lang w:val="en-US"/>
        </w:rPr>
        <w:t xml:space="preserve">… </w:t>
      </w:r>
      <w:proofErr w:type="spellStart"/>
      <w:r w:rsidRPr="00FA5E94">
        <w:rPr>
          <w:sz w:val="20"/>
          <w:szCs w:val="20"/>
          <w:lang w:val="en-US"/>
        </w:rPr>
        <w:t>pero</w:t>
      </w:r>
      <w:proofErr w:type="spellEnd"/>
      <w:r w:rsidRPr="00FA5E94">
        <w:rPr>
          <w:sz w:val="20"/>
          <w:szCs w:val="20"/>
          <w:lang w:val="en-US"/>
        </w:rPr>
        <w:t xml:space="preserve"> </w:t>
      </w:r>
      <w:proofErr w:type="spellStart"/>
      <w:r w:rsidRPr="00FA5E94">
        <w:rPr>
          <w:sz w:val="20"/>
          <w:szCs w:val="20"/>
          <w:lang w:val="en-US"/>
        </w:rPr>
        <w:t>aún</w:t>
      </w:r>
      <w:proofErr w:type="spellEnd"/>
      <w:r w:rsidRPr="00FA5E94">
        <w:rPr>
          <w:sz w:val="20"/>
          <w:szCs w:val="20"/>
          <w:lang w:val="en-US"/>
        </w:rPr>
        <w:t xml:space="preserve"> continua </w:t>
      </w:r>
      <w:proofErr w:type="spellStart"/>
      <w:r w:rsidRPr="00FA5E94">
        <w:rPr>
          <w:sz w:val="20"/>
          <w:szCs w:val="20"/>
          <w:lang w:val="en-US"/>
        </w:rPr>
        <w:t>pendiente</w:t>
      </w:r>
      <w:proofErr w:type="spellEnd"/>
      <w:r>
        <w:rPr>
          <w:sz w:val="20"/>
          <w:szCs w:val="20"/>
          <w:lang w:val="en-US"/>
        </w:rPr>
        <w:t>,”</w:t>
      </w:r>
      <w:r w:rsidRPr="00FA5E94">
        <w:rPr>
          <w:sz w:val="20"/>
          <w:szCs w:val="20"/>
          <w:lang w:val="en-US"/>
        </w:rPr>
        <w:t xml:space="preserve"> available</w:t>
      </w:r>
      <w:r>
        <w:rPr>
          <w:sz w:val="20"/>
          <w:szCs w:val="20"/>
          <w:lang w:val="en-US"/>
        </w:rPr>
        <w:t xml:space="preserve"> in the JSCA virtual library</w:t>
      </w:r>
      <w:r w:rsidRPr="00FA5E94">
        <w:rPr>
          <w:sz w:val="20"/>
          <w:szCs w:val="20"/>
          <w:lang w:val="en-US"/>
        </w:rPr>
        <w:t xml:space="preserve"> at: </w:t>
      </w:r>
      <w:hyperlink r:id="rId1" w:history="1">
        <w:r w:rsidRPr="00FA5E94">
          <w:rPr>
            <w:rStyle w:val="Hipervnculo"/>
            <w:sz w:val="20"/>
            <w:szCs w:val="20"/>
            <w:lang w:val="en-US"/>
          </w:rPr>
          <w:t>http://www.cejamericas.org/portal/index.php/es/biblioteca/biblioteca-virtual/doc_details/1831-reforma-a-la-justicia-civil-en-america-latina-un-asunto-que-ha-estado-en-marcha-pero-aun-continua-pendiente</w:t>
        </w:r>
      </w:hyperlink>
      <w:r w:rsidRPr="00196444">
        <w:rPr>
          <w:sz w:val="20"/>
          <w:szCs w:val="20"/>
          <w:lang w:val="en-US"/>
        </w:rPr>
        <w:t>.</w:t>
      </w:r>
    </w:p>
  </w:footnote>
  <w:footnote w:id="2">
    <w:p w:rsidR="00846D4D" w:rsidRDefault="00846D4D" w:rsidP="00322A11">
      <w:pPr>
        <w:pStyle w:val="Textonotapie"/>
        <w:jc w:val="both"/>
        <w:rPr>
          <w:lang w:val="en-US"/>
        </w:rPr>
      </w:pPr>
      <w:r w:rsidRPr="003C3A35">
        <w:rPr>
          <w:rStyle w:val="Refdenotaalpie"/>
        </w:rPr>
        <w:footnoteRef/>
      </w:r>
      <w:r>
        <w:rPr>
          <w:lang w:val="en-GB"/>
        </w:rPr>
        <w:t xml:space="preserve"> </w:t>
      </w:r>
      <w:r w:rsidRPr="003C3A35">
        <w:rPr>
          <w:i/>
          <w:lang w:val="en-GB"/>
        </w:rPr>
        <w:t>See</w:t>
      </w:r>
      <w:r>
        <w:rPr>
          <w:i/>
          <w:lang w:val="en-GB"/>
        </w:rPr>
        <w:t xml:space="preserve"> also</w:t>
      </w:r>
      <w:r w:rsidRPr="003C3A35">
        <w:rPr>
          <w:lang w:val="en-GB"/>
        </w:rPr>
        <w:t xml:space="preserve"> </w:t>
      </w:r>
      <w:r>
        <w:rPr>
          <w:lang w:val="en-US"/>
        </w:rPr>
        <w:t xml:space="preserve">Justice Studies Center of the Americas, “Report on Justice in the Americas 2008-2009,” </w:t>
      </w:r>
      <w:r>
        <w:rPr>
          <w:i/>
          <w:lang w:val="en-US"/>
        </w:rPr>
        <w:t xml:space="preserve">available at </w:t>
      </w:r>
      <w:hyperlink r:id="rId2" w:tgtFrame="_blank" w:history="1">
        <w:r w:rsidRPr="00C67A9E">
          <w:rPr>
            <w:rStyle w:val="Hipervnculo"/>
            <w:lang w:val="en-US"/>
          </w:rPr>
          <w:t>http://www.ceja.cl/reporte/2008-2009/muestra_portada3217e.html?idioma=espanol&amp;tipreport=REPORTE4</w:t>
        </w:r>
      </w:hyperlink>
      <w:r>
        <w:rPr>
          <w:lang w:val="en-US"/>
        </w:rPr>
        <w:t>; and Justice Studies Center of the Americas, “Report on Justice in the Americas 2006-2007” (Aug. 2007).</w:t>
      </w:r>
    </w:p>
  </w:footnote>
  <w:footnote w:id="3">
    <w:p w:rsidR="00846D4D" w:rsidRDefault="00846D4D" w:rsidP="00322A11">
      <w:pPr>
        <w:pStyle w:val="Textonotapie"/>
        <w:jc w:val="both"/>
        <w:rPr>
          <w:lang w:val="en-US"/>
        </w:rPr>
      </w:pPr>
      <w:r w:rsidRPr="003C3A35">
        <w:rPr>
          <w:rStyle w:val="Refdenotaalpie"/>
        </w:rPr>
        <w:footnoteRef/>
      </w:r>
      <w:r w:rsidRPr="003C3A35">
        <w:rPr>
          <w:lang w:val="en-US"/>
        </w:rPr>
        <w:t xml:space="preserve"> One must keep in mind that if, in a given country, family law is independent from the civil sphere, such a case is not counted among civil cases; meanwhile, if civil law encompasses family law, such a case enters the count of civil cases.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46D4D" w:rsidRPr="00B1289D" w:rsidRDefault="00846D4D" w:rsidP="00B1289D">
    <w:pPr>
      <w:pStyle w:val="Encabezado"/>
      <w:jc w:val="right"/>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221003"/>
    <w:multiLevelType w:val="hybridMultilevel"/>
    <w:tmpl w:val="E4A41D6C"/>
    <w:lvl w:ilvl="0" w:tplc="04090015">
      <w:start w:val="1"/>
      <w:numFmt w:val="upperLetter"/>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48331D9E"/>
    <w:multiLevelType w:val="hybridMultilevel"/>
    <w:tmpl w:val="31CEF2CA"/>
    <w:lvl w:ilvl="0" w:tplc="416A11E8">
      <w:start w:val="1"/>
      <w:numFmt w:val="decimal"/>
      <w:lvlText w:val="%1."/>
      <w:lvlJc w:val="left"/>
      <w:pPr>
        <w:tabs>
          <w:tab w:val="num" w:pos="720"/>
        </w:tabs>
        <w:ind w:left="720" w:hanging="360"/>
      </w:pPr>
      <w:rPr>
        <w:rFonts w:hint="default"/>
        <w:u w:val="single"/>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
    <w:nsid w:val="4BB06F88"/>
    <w:multiLevelType w:val="hybridMultilevel"/>
    <w:tmpl w:val="19D666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Symbo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Symbol"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6A32"/>
    <w:rsid w:val="000070A2"/>
    <w:rsid w:val="00012E7A"/>
    <w:rsid w:val="00021314"/>
    <w:rsid w:val="00030D14"/>
    <w:rsid w:val="00034BFE"/>
    <w:rsid w:val="00053FE8"/>
    <w:rsid w:val="0005530A"/>
    <w:rsid w:val="00063137"/>
    <w:rsid w:val="000A3A00"/>
    <w:rsid w:val="000A535A"/>
    <w:rsid w:val="000B236A"/>
    <w:rsid w:val="000C7560"/>
    <w:rsid w:val="00155488"/>
    <w:rsid w:val="0017044A"/>
    <w:rsid w:val="00184275"/>
    <w:rsid w:val="001846D7"/>
    <w:rsid w:val="00196444"/>
    <w:rsid w:val="001C77B5"/>
    <w:rsid w:val="001D06FA"/>
    <w:rsid w:val="001E321A"/>
    <w:rsid w:val="001F1B3C"/>
    <w:rsid w:val="001F7755"/>
    <w:rsid w:val="002328B8"/>
    <w:rsid w:val="00242C10"/>
    <w:rsid w:val="00243992"/>
    <w:rsid w:val="00247F1B"/>
    <w:rsid w:val="00256557"/>
    <w:rsid w:val="00272A9A"/>
    <w:rsid w:val="00292ED4"/>
    <w:rsid w:val="002B75B5"/>
    <w:rsid w:val="002E6783"/>
    <w:rsid w:val="00322A11"/>
    <w:rsid w:val="00324B7A"/>
    <w:rsid w:val="003275D2"/>
    <w:rsid w:val="00367B07"/>
    <w:rsid w:val="0038591D"/>
    <w:rsid w:val="0038687A"/>
    <w:rsid w:val="00387D11"/>
    <w:rsid w:val="00396017"/>
    <w:rsid w:val="003C3A35"/>
    <w:rsid w:val="003E720E"/>
    <w:rsid w:val="003E7DB4"/>
    <w:rsid w:val="00402AE6"/>
    <w:rsid w:val="0042136D"/>
    <w:rsid w:val="004323E4"/>
    <w:rsid w:val="004378AB"/>
    <w:rsid w:val="00453CE1"/>
    <w:rsid w:val="00494029"/>
    <w:rsid w:val="004A4E95"/>
    <w:rsid w:val="004D14CA"/>
    <w:rsid w:val="004E25A9"/>
    <w:rsid w:val="00504AC3"/>
    <w:rsid w:val="00516F28"/>
    <w:rsid w:val="005225E3"/>
    <w:rsid w:val="005361F5"/>
    <w:rsid w:val="0053789E"/>
    <w:rsid w:val="00557BE2"/>
    <w:rsid w:val="00560378"/>
    <w:rsid w:val="00571B93"/>
    <w:rsid w:val="0057685E"/>
    <w:rsid w:val="00592E4A"/>
    <w:rsid w:val="005E0D63"/>
    <w:rsid w:val="005F7C6C"/>
    <w:rsid w:val="006F4592"/>
    <w:rsid w:val="007059FE"/>
    <w:rsid w:val="0071066D"/>
    <w:rsid w:val="007353F7"/>
    <w:rsid w:val="007375E6"/>
    <w:rsid w:val="00753485"/>
    <w:rsid w:val="00784BEF"/>
    <w:rsid w:val="007A08A1"/>
    <w:rsid w:val="007A1B41"/>
    <w:rsid w:val="007B5F5B"/>
    <w:rsid w:val="007C07CB"/>
    <w:rsid w:val="007D3599"/>
    <w:rsid w:val="007E37D4"/>
    <w:rsid w:val="007E4B59"/>
    <w:rsid w:val="007F3FF0"/>
    <w:rsid w:val="00825B68"/>
    <w:rsid w:val="00831275"/>
    <w:rsid w:val="008364BE"/>
    <w:rsid w:val="0084540A"/>
    <w:rsid w:val="00846D4D"/>
    <w:rsid w:val="0086283D"/>
    <w:rsid w:val="00862A0E"/>
    <w:rsid w:val="00876581"/>
    <w:rsid w:val="00887D43"/>
    <w:rsid w:val="00891A55"/>
    <w:rsid w:val="008976AE"/>
    <w:rsid w:val="008A19F6"/>
    <w:rsid w:val="008B68E0"/>
    <w:rsid w:val="008C377C"/>
    <w:rsid w:val="00900FAF"/>
    <w:rsid w:val="0090242E"/>
    <w:rsid w:val="00913F36"/>
    <w:rsid w:val="00921F37"/>
    <w:rsid w:val="0092396B"/>
    <w:rsid w:val="00934909"/>
    <w:rsid w:val="00961953"/>
    <w:rsid w:val="00963542"/>
    <w:rsid w:val="009745BC"/>
    <w:rsid w:val="009B6A32"/>
    <w:rsid w:val="009D5647"/>
    <w:rsid w:val="009E3B2D"/>
    <w:rsid w:val="009E540D"/>
    <w:rsid w:val="00A00DF9"/>
    <w:rsid w:val="00A04816"/>
    <w:rsid w:val="00A56C5A"/>
    <w:rsid w:val="00A7451A"/>
    <w:rsid w:val="00A91587"/>
    <w:rsid w:val="00A96C81"/>
    <w:rsid w:val="00AC0CFB"/>
    <w:rsid w:val="00AD71E6"/>
    <w:rsid w:val="00AE1D89"/>
    <w:rsid w:val="00AE2A6D"/>
    <w:rsid w:val="00AF1CEC"/>
    <w:rsid w:val="00B023E1"/>
    <w:rsid w:val="00B1289D"/>
    <w:rsid w:val="00B327B4"/>
    <w:rsid w:val="00B533D3"/>
    <w:rsid w:val="00B57D55"/>
    <w:rsid w:val="00B60228"/>
    <w:rsid w:val="00B87A74"/>
    <w:rsid w:val="00B956E3"/>
    <w:rsid w:val="00B96AEB"/>
    <w:rsid w:val="00BA6463"/>
    <w:rsid w:val="00BA6D3B"/>
    <w:rsid w:val="00BB18E6"/>
    <w:rsid w:val="00C018B3"/>
    <w:rsid w:val="00C26696"/>
    <w:rsid w:val="00C56028"/>
    <w:rsid w:val="00C67A9E"/>
    <w:rsid w:val="00C71362"/>
    <w:rsid w:val="00C71CD9"/>
    <w:rsid w:val="00C75568"/>
    <w:rsid w:val="00C92F1C"/>
    <w:rsid w:val="00D025DE"/>
    <w:rsid w:val="00D0705B"/>
    <w:rsid w:val="00D14205"/>
    <w:rsid w:val="00D1461E"/>
    <w:rsid w:val="00D15D74"/>
    <w:rsid w:val="00D242E1"/>
    <w:rsid w:val="00D30BE3"/>
    <w:rsid w:val="00D46014"/>
    <w:rsid w:val="00D62595"/>
    <w:rsid w:val="00D63098"/>
    <w:rsid w:val="00D66F99"/>
    <w:rsid w:val="00D864D8"/>
    <w:rsid w:val="00D900FA"/>
    <w:rsid w:val="00D94699"/>
    <w:rsid w:val="00DA1EB5"/>
    <w:rsid w:val="00DA67FF"/>
    <w:rsid w:val="00DB7681"/>
    <w:rsid w:val="00DC5A22"/>
    <w:rsid w:val="00E24EFB"/>
    <w:rsid w:val="00E265A9"/>
    <w:rsid w:val="00E27596"/>
    <w:rsid w:val="00E319AE"/>
    <w:rsid w:val="00E41D15"/>
    <w:rsid w:val="00E62B60"/>
    <w:rsid w:val="00EC148A"/>
    <w:rsid w:val="00EC58F4"/>
    <w:rsid w:val="00ED1C2B"/>
    <w:rsid w:val="00ED1F2B"/>
    <w:rsid w:val="00ED7EA2"/>
    <w:rsid w:val="00F21034"/>
    <w:rsid w:val="00F255AA"/>
    <w:rsid w:val="00F40A26"/>
    <w:rsid w:val="00F4434E"/>
    <w:rsid w:val="00F70591"/>
    <w:rsid w:val="00F70AC6"/>
    <w:rsid w:val="00F71EB4"/>
    <w:rsid w:val="00F768BA"/>
    <w:rsid w:val="00F8066D"/>
    <w:rsid w:val="00FA5E94"/>
    <w:rsid w:val="00FB15A1"/>
    <w:rsid w:val="00FF26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92ED4"/>
    <w:rPr>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rsid w:val="00961953"/>
    <w:rPr>
      <w:rFonts w:ascii="Tahoma" w:hAnsi="Tahoma" w:cs="Tahoma"/>
      <w:sz w:val="16"/>
      <w:szCs w:val="16"/>
    </w:rPr>
  </w:style>
  <w:style w:type="character" w:customStyle="1" w:styleId="BalloonTextChar">
    <w:name w:val="Balloon Text Char"/>
    <w:basedOn w:val="Fuentedeprrafopredeter"/>
    <w:uiPriority w:val="99"/>
    <w:semiHidden/>
    <w:rsid w:val="001E6D2B"/>
    <w:rPr>
      <w:rFonts w:ascii="Lucida Grande" w:hAnsi="Lucida Grande"/>
      <w:sz w:val="18"/>
      <w:szCs w:val="18"/>
    </w:rPr>
  </w:style>
  <w:style w:type="paragraph" w:styleId="Encabezado">
    <w:name w:val="header"/>
    <w:basedOn w:val="Normal"/>
    <w:rsid w:val="00B1289D"/>
    <w:pPr>
      <w:tabs>
        <w:tab w:val="center" w:pos="4252"/>
        <w:tab w:val="right" w:pos="8504"/>
      </w:tabs>
    </w:pPr>
  </w:style>
  <w:style w:type="paragraph" w:styleId="Piedepgina">
    <w:name w:val="footer"/>
    <w:basedOn w:val="Normal"/>
    <w:link w:val="PiedepginaCar"/>
    <w:uiPriority w:val="99"/>
    <w:rsid w:val="00B1289D"/>
    <w:pPr>
      <w:tabs>
        <w:tab w:val="center" w:pos="4252"/>
        <w:tab w:val="right" w:pos="8504"/>
      </w:tabs>
    </w:pPr>
  </w:style>
  <w:style w:type="paragraph" w:styleId="Textonotapie">
    <w:name w:val="footnote text"/>
    <w:basedOn w:val="Normal"/>
    <w:semiHidden/>
    <w:rsid w:val="009D5647"/>
    <w:rPr>
      <w:sz w:val="20"/>
      <w:szCs w:val="20"/>
    </w:rPr>
  </w:style>
  <w:style w:type="character" w:styleId="Refdenotaalpie">
    <w:name w:val="footnote reference"/>
    <w:basedOn w:val="Fuentedeprrafopredeter"/>
    <w:semiHidden/>
    <w:rsid w:val="009D5647"/>
    <w:rPr>
      <w:vertAlign w:val="superscript"/>
    </w:rPr>
  </w:style>
  <w:style w:type="character" w:styleId="Hipervnculo">
    <w:name w:val="Hyperlink"/>
    <w:basedOn w:val="Fuentedeprrafopredeter"/>
    <w:rsid w:val="00FF265D"/>
    <w:rPr>
      <w:color w:val="0000FF"/>
      <w:u w:val="single"/>
    </w:rPr>
  </w:style>
  <w:style w:type="character" w:customStyle="1" w:styleId="PiedepginaCar">
    <w:name w:val="Pie de página Car"/>
    <w:basedOn w:val="Fuentedeprrafopredeter"/>
    <w:link w:val="Piedepgina"/>
    <w:uiPriority w:val="99"/>
    <w:rsid w:val="00D63098"/>
    <w:rPr>
      <w:sz w:val="24"/>
      <w:szCs w:val="24"/>
      <w:lang w:val="es-ES" w:eastAsia="es-ES"/>
    </w:rPr>
  </w:style>
  <w:style w:type="table" w:styleId="Tablaconcuadrcula">
    <w:name w:val="Table Grid"/>
    <w:basedOn w:val="Tablanormal"/>
    <w:uiPriority w:val="59"/>
    <w:rsid w:val="007A1B4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rsid w:val="007D3599"/>
    <w:pPr>
      <w:ind w:left="720"/>
      <w:contextualSpacing/>
    </w:pPr>
  </w:style>
  <w:style w:type="character" w:styleId="Refdecomentario">
    <w:name w:val="annotation reference"/>
    <w:basedOn w:val="Fuentedeprrafopredeter"/>
    <w:rsid w:val="00961953"/>
    <w:rPr>
      <w:sz w:val="16"/>
      <w:szCs w:val="16"/>
    </w:rPr>
  </w:style>
  <w:style w:type="paragraph" w:styleId="Textocomentario">
    <w:name w:val="annotation text"/>
    <w:basedOn w:val="Normal"/>
    <w:link w:val="TextocomentarioCar"/>
    <w:rsid w:val="00961953"/>
    <w:rPr>
      <w:sz w:val="20"/>
      <w:szCs w:val="20"/>
    </w:rPr>
  </w:style>
  <w:style w:type="character" w:customStyle="1" w:styleId="TextocomentarioCar">
    <w:name w:val="Texto comentario Car"/>
    <w:basedOn w:val="Fuentedeprrafopredeter"/>
    <w:link w:val="Textocomentario"/>
    <w:rsid w:val="00961953"/>
    <w:rPr>
      <w:sz w:val="20"/>
      <w:szCs w:val="20"/>
      <w:lang w:val="es-ES" w:eastAsia="es-ES"/>
    </w:rPr>
  </w:style>
  <w:style w:type="paragraph" w:styleId="Asuntodelcomentario">
    <w:name w:val="annotation subject"/>
    <w:basedOn w:val="Textocomentario"/>
    <w:next w:val="Textocomentario"/>
    <w:link w:val="AsuntodelcomentarioCar"/>
    <w:rsid w:val="00961953"/>
    <w:rPr>
      <w:b/>
      <w:bCs/>
    </w:rPr>
  </w:style>
  <w:style w:type="character" w:customStyle="1" w:styleId="AsuntodelcomentarioCar">
    <w:name w:val="Asunto del comentario Car"/>
    <w:basedOn w:val="TextocomentarioCar"/>
    <w:link w:val="Asuntodelcomentario"/>
    <w:rsid w:val="00961953"/>
    <w:rPr>
      <w:b/>
      <w:bCs/>
      <w:sz w:val="20"/>
      <w:szCs w:val="20"/>
      <w:lang w:val="es-ES" w:eastAsia="es-ES"/>
    </w:rPr>
  </w:style>
  <w:style w:type="character" w:customStyle="1" w:styleId="TextodegloboCar">
    <w:name w:val="Texto de globo Car"/>
    <w:basedOn w:val="Fuentedeprrafopredeter"/>
    <w:link w:val="Textodeglobo"/>
    <w:rsid w:val="00961953"/>
    <w:rPr>
      <w:rFonts w:ascii="Tahoma" w:hAnsi="Tahoma" w:cs="Tahoma"/>
      <w:sz w:val="16"/>
      <w:szCs w:val="16"/>
      <w:lang w:val="es-ES" w:eastAsia="es-ES"/>
    </w:rPr>
  </w:style>
  <w:style w:type="paragraph" w:styleId="Revisin">
    <w:name w:val="Revision"/>
    <w:hidden/>
    <w:rsid w:val="00FA5E94"/>
    <w:rPr>
      <w:sz w:val="24"/>
      <w:szCs w:val="24"/>
      <w:lang w:val="es-ES" w:eastAsia="es-ES"/>
    </w:rPr>
  </w:style>
  <w:style w:type="character" w:styleId="Hipervnculovisitado">
    <w:name w:val="FollowedHyperlink"/>
    <w:basedOn w:val="Fuentedeprrafopredeter"/>
    <w:rsid w:val="00C67A9E"/>
    <w:rPr>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92ED4"/>
    <w:rPr>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rsid w:val="00961953"/>
    <w:rPr>
      <w:rFonts w:ascii="Tahoma" w:hAnsi="Tahoma" w:cs="Tahoma"/>
      <w:sz w:val="16"/>
      <w:szCs w:val="16"/>
    </w:rPr>
  </w:style>
  <w:style w:type="character" w:customStyle="1" w:styleId="BalloonTextChar">
    <w:name w:val="Balloon Text Char"/>
    <w:basedOn w:val="Fuentedeprrafopredeter"/>
    <w:uiPriority w:val="99"/>
    <w:semiHidden/>
    <w:rsid w:val="001E6D2B"/>
    <w:rPr>
      <w:rFonts w:ascii="Lucida Grande" w:hAnsi="Lucida Grande"/>
      <w:sz w:val="18"/>
      <w:szCs w:val="18"/>
    </w:rPr>
  </w:style>
  <w:style w:type="paragraph" w:styleId="Encabezado">
    <w:name w:val="header"/>
    <w:basedOn w:val="Normal"/>
    <w:rsid w:val="00B1289D"/>
    <w:pPr>
      <w:tabs>
        <w:tab w:val="center" w:pos="4252"/>
        <w:tab w:val="right" w:pos="8504"/>
      </w:tabs>
    </w:pPr>
  </w:style>
  <w:style w:type="paragraph" w:styleId="Piedepgina">
    <w:name w:val="footer"/>
    <w:basedOn w:val="Normal"/>
    <w:link w:val="PiedepginaCar"/>
    <w:uiPriority w:val="99"/>
    <w:rsid w:val="00B1289D"/>
    <w:pPr>
      <w:tabs>
        <w:tab w:val="center" w:pos="4252"/>
        <w:tab w:val="right" w:pos="8504"/>
      </w:tabs>
    </w:pPr>
  </w:style>
  <w:style w:type="paragraph" w:styleId="Textonotapie">
    <w:name w:val="footnote text"/>
    <w:basedOn w:val="Normal"/>
    <w:semiHidden/>
    <w:rsid w:val="009D5647"/>
    <w:rPr>
      <w:sz w:val="20"/>
      <w:szCs w:val="20"/>
    </w:rPr>
  </w:style>
  <w:style w:type="character" w:styleId="Refdenotaalpie">
    <w:name w:val="footnote reference"/>
    <w:basedOn w:val="Fuentedeprrafopredeter"/>
    <w:semiHidden/>
    <w:rsid w:val="009D5647"/>
    <w:rPr>
      <w:vertAlign w:val="superscript"/>
    </w:rPr>
  </w:style>
  <w:style w:type="character" w:styleId="Hipervnculo">
    <w:name w:val="Hyperlink"/>
    <w:basedOn w:val="Fuentedeprrafopredeter"/>
    <w:rsid w:val="00FF265D"/>
    <w:rPr>
      <w:color w:val="0000FF"/>
      <w:u w:val="single"/>
    </w:rPr>
  </w:style>
  <w:style w:type="character" w:customStyle="1" w:styleId="PiedepginaCar">
    <w:name w:val="Pie de página Car"/>
    <w:basedOn w:val="Fuentedeprrafopredeter"/>
    <w:link w:val="Piedepgina"/>
    <w:uiPriority w:val="99"/>
    <w:rsid w:val="00D63098"/>
    <w:rPr>
      <w:sz w:val="24"/>
      <w:szCs w:val="24"/>
      <w:lang w:val="es-ES" w:eastAsia="es-ES"/>
    </w:rPr>
  </w:style>
  <w:style w:type="table" w:styleId="Tablaconcuadrcula">
    <w:name w:val="Table Grid"/>
    <w:basedOn w:val="Tablanormal"/>
    <w:uiPriority w:val="59"/>
    <w:rsid w:val="007A1B4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rsid w:val="007D3599"/>
    <w:pPr>
      <w:ind w:left="720"/>
      <w:contextualSpacing/>
    </w:pPr>
  </w:style>
  <w:style w:type="character" w:styleId="Refdecomentario">
    <w:name w:val="annotation reference"/>
    <w:basedOn w:val="Fuentedeprrafopredeter"/>
    <w:rsid w:val="00961953"/>
    <w:rPr>
      <w:sz w:val="16"/>
      <w:szCs w:val="16"/>
    </w:rPr>
  </w:style>
  <w:style w:type="paragraph" w:styleId="Textocomentario">
    <w:name w:val="annotation text"/>
    <w:basedOn w:val="Normal"/>
    <w:link w:val="TextocomentarioCar"/>
    <w:rsid w:val="00961953"/>
    <w:rPr>
      <w:sz w:val="20"/>
      <w:szCs w:val="20"/>
    </w:rPr>
  </w:style>
  <w:style w:type="character" w:customStyle="1" w:styleId="TextocomentarioCar">
    <w:name w:val="Texto comentario Car"/>
    <w:basedOn w:val="Fuentedeprrafopredeter"/>
    <w:link w:val="Textocomentario"/>
    <w:rsid w:val="00961953"/>
    <w:rPr>
      <w:sz w:val="20"/>
      <w:szCs w:val="20"/>
      <w:lang w:val="es-ES" w:eastAsia="es-ES"/>
    </w:rPr>
  </w:style>
  <w:style w:type="paragraph" w:styleId="Asuntodelcomentario">
    <w:name w:val="annotation subject"/>
    <w:basedOn w:val="Textocomentario"/>
    <w:next w:val="Textocomentario"/>
    <w:link w:val="AsuntodelcomentarioCar"/>
    <w:rsid w:val="00961953"/>
    <w:rPr>
      <w:b/>
      <w:bCs/>
    </w:rPr>
  </w:style>
  <w:style w:type="character" w:customStyle="1" w:styleId="AsuntodelcomentarioCar">
    <w:name w:val="Asunto del comentario Car"/>
    <w:basedOn w:val="TextocomentarioCar"/>
    <w:link w:val="Asuntodelcomentario"/>
    <w:rsid w:val="00961953"/>
    <w:rPr>
      <w:b/>
      <w:bCs/>
      <w:sz w:val="20"/>
      <w:szCs w:val="20"/>
      <w:lang w:val="es-ES" w:eastAsia="es-ES"/>
    </w:rPr>
  </w:style>
  <w:style w:type="character" w:customStyle="1" w:styleId="TextodegloboCar">
    <w:name w:val="Texto de globo Car"/>
    <w:basedOn w:val="Fuentedeprrafopredeter"/>
    <w:link w:val="Textodeglobo"/>
    <w:rsid w:val="00961953"/>
    <w:rPr>
      <w:rFonts w:ascii="Tahoma" w:hAnsi="Tahoma" w:cs="Tahoma"/>
      <w:sz w:val="16"/>
      <w:szCs w:val="16"/>
      <w:lang w:val="es-ES" w:eastAsia="es-ES"/>
    </w:rPr>
  </w:style>
  <w:style w:type="paragraph" w:styleId="Revisin">
    <w:name w:val="Revision"/>
    <w:hidden/>
    <w:rsid w:val="00FA5E94"/>
    <w:rPr>
      <w:sz w:val="24"/>
      <w:szCs w:val="24"/>
      <w:lang w:val="es-ES" w:eastAsia="es-ES"/>
    </w:rPr>
  </w:style>
  <w:style w:type="character" w:styleId="Hipervnculovisitado">
    <w:name w:val="FollowedHyperlink"/>
    <w:basedOn w:val="Fuentedeprrafopredeter"/>
    <w:rsid w:val="00C67A9E"/>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ceja.cl/reporte/2008-2009/muestra_portada3217e.html?idioma=espanol&amp;tipreport=REPORTE4" TargetMode="External"/><Relationship Id="rId1" Type="http://schemas.openxmlformats.org/officeDocument/2006/relationships/hyperlink" Target="http://www.cejamericas.org/portal/index.php/es/biblioteca/biblioteca-virtual/doc_details/1831-reforma-a-la-justicia-civil-en-america-latina-un-asunto-que-ha-estado-en-marcha-pero-aun-continua-pendiente"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1643835616438297E-2"/>
          <c:y val="8.5714285714285701E-2"/>
          <c:w val="0.64155251141552505"/>
          <c:h val="0.48571428571428599"/>
        </c:manualLayout>
      </c:layout>
      <c:barChart>
        <c:barDir val="col"/>
        <c:grouping val="clustered"/>
        <c:varyColors val="0"/>
        <c:ser>
          <c:idx val="0"/>
          <c:order val="0"/>
          <c:tx>
            <c:strRef>
              <c:f>'Specialized Civil'!$B$2</c:f>
              <c:strCache>
                <c:ptCount val="1"/>
                <c:pt idx="0">
                  <c:v>Percentage of Specialized</c:v>
                </c:pt>
              </c:strCache>
            </c:strRef>
          </c:tx>
          <c:spPr>
            <a:solidFill>
              <a:srgbClr val="4F81BD"/>
            </a:solidFill>
            <a:ln w="25369">
              <a:noFill/>
            </a:ln>
          </c:spPr>
          <c:invertIfNegative val="0"/>
          <c:dLbls>
            <c:spPr>
              <a:noFill/>
              <a:ln w="25369">
                <a:noFill/>
              </a:ln>
            </c:spPr>
            <c:txPr>
              <a:bodyPr/>
              <a:lstStyle/>
              <a:p>
                <a:pPr>
                  <a:defRPr lang="es-CO" sz="799"/>
                </a:pPr>
                <a:endParaRPr lang="es-CL"/>
              </a:p>
            </c:txPr>
            <c:showLegendKey val="0"/>
            <c:showVal val="1"/>
            <c:showCatName val="0"/>
            <c:showSerName val="0"/>
            <c:showPercent val="0"/>
            <c:showBubbleSize val="0"/>
            <c:showLeaderLines val="0"/>
          </c:dLbls>
          <c:cat>
            <c:strRef>
              <c:f>'Specialized Civil'!$A$3:$A$11</c:f>
              <c:strCache>
                <c:ptCount val="9"/>
                <c:pt idx="0">
                  <c:v>Chile</c:v>
                </c:pt>
                <c:pt idx="1">
                  <c:v>Panama</c:v>
                </c:pt>
                <c:pt idx="2">
                  <c:v>Venezuela</c:v>
                </c:pt>
                <c:pt idx="3">
                  <c:v>Dominican Republic</c:v>
                </c:pt>
                <c:pt idx="4">
                  <c:v>Costa Rica</c:v>
                </c:pt>
                <c:pt idx="5">
                  <c:v>Ecuador</c:v>
                </c:pt>
                <c:pt idx="6">
                  <c:v>Colombia</c:v>
                </c:pt>
                <c:pt idx="7">
                  <c:v>Honduras</c:v>
                </c:pt>
                <c:pt idx="8">
                  <c:v>El Salvador</c:v>
                </c:pt>
              </c:strCache>
            </c:strRef>
          </c:cat>
          <c:val>
            <c:numRef>
              <c:f>'Specialized Civil'!$B$3:$B$11</c:f>
              <c:numCache>
                <c:formatCode>General</c:formatCode>
                <c:ptCount val="9"/>
                <c:pt idx="0">
                  <c:v>0.31</c:v>
                </c:pt>
                <c:pt idx="1">
                  <c:v>1.52</c:v>
                </c:pt>
                <c:pt idx="2">
                  <c:v>2.33</c:v>
                </c:pt>
                <c:pt idx="3">
                  <c:v>0.56000000000000005</c:v>
                </c:pt>
                <c:pt idx="4">
                  <c:v>0.51</c:v>
                </c:pt>
                <c:pt idx="5">
                  <c:v>1.88</c:v>
                </c:pt>
                <c:pt idx="6">
                  <c:v>1.94</c:v>
                </c:pt>
                <c:pt idx="7">
                  <c:v>0.69</c:v>
                </c:pt>
                <c:pt idx="8">
                  <c:v>0.39</c:v>
                </c:pt>
              </c:numCache>
            </c:numRef>
          </c:val>
        </c:ser>
        <c:ser>
          <c:idx val="1"/>
          <c:order val="1"/>
          <c:tx>
            <c:strRef>
              <c:f>'Specialized Civil'!$C$2</c:f>
              <c:strCache>
                <c:ptCount val="1"/>
                <c:pt idx="0">
                  <c:v>Percentage of All</c:v>
                </c:pt>
              </c:strCache>
            </c:strRef>
          </c:tx>
          <c:spPr>
            <a:solidFill>
              <a:srgbClr val="C0504D"/>
            </a:solidFill>
            <a:ln w="25369">
              <a:noFill/>
            </a:ln>
          </c:spPr>
          <c:invertIfNegative val="0"/>
          <c:dLbls>
            <c:spPr>
              <a:noFill/>
              <a:ln w="25369">
                <a:noFill/>
              </a:ln>
            </c:spPr>
            <c:txPr>
              <a:bodyPr/>
              <a:lstStyle/>
              <a:p>
                <a:pPr>
                  <a:defRPr lang="es-CO" sz="799"/>
                </a:pPr>
                <a:endParaRPr lang="es-CL"/>
              </a:p>
            </c:txPr>
            <c:showLegendKey val="0"/>
            <c:showVal val="1"/>
            <c:showCatName val="0"/>
            <c:showSerName val="0"/>
            <c:showPercent val="0"/>
            <c:showBubbleSize val="0"/>
            <c:showLeaderLines val="0"/>
          </c:dLbls>
          <c:cat>
            <c:strRef>
              <c:f>'Specialized Civil'!$A$3:$A$11</c:f>
              <c:strCache>
                <c:ptCount val="9"/>
                <c:pt idx="0">
                  <c:v>Chile</c:v>
                </c:pt>
                <c:pt idx="1">
                  <c:v>Panama</c:v>
                </c:pt>
                <c:pt idx="2">
                  <c:v>Venezuela</c:v>
                </c:pt>
                <c:pt idx="3">
                  <c:v>Dominican Republic</c:v>
                </c:pt>
                <c:pt idx="4">
                  <c:v>Costa Rica</c:v>
                </c:pt>
                <c:pt idx="5">
                  <c:v>Ecuador</c:v>
                </c:pt>
                <c:pt idx="6">
                  <c:v>Colombia</c:v>
                </c:pt>
                <c:pt idx="7">
                  <c:v>Honduras</c:v>
                </c:pt>
                <c:pt idx="8">
                  <c:v>El Salvador</c:v>
                </c:pt>
              </c:strCache>
            </c:strRef>
          </c:cat>
          <c:val>
            <c:numRef>
              <c:f>'Specialized Civil'!$C$3:$C$11</c:f>
              <c:numCache>
                <c:formatCode>General</c:formatCode>
                <c:ptCount val="9"/>
                <c:pt idx="0">
                  <c:v>3.32</c:v>
                </c:pt>
                <c:pt idx="1">
                  <c:v>3.53</c:v>
                </c:pt>
                <c:pt idx="2">
                  <c:v>3.97</c:v>
                </c:pt>
                <c:pt idx="3">
                  <c:v>5.6899999999999986</c:v>
                </c:pt>
                <c:pt idx="4">
                  <c:v>5.9</c:v>
                </c:pt>
                <c:pt idx="5">
                  <c:v>6.83</c:v>
                </c:pt>
                <c:pt idx="6">
                  <c:v>7.14</c:v>
                </c:pt>
                <c:pt idx="7">
                  <c:v>7.83</c:v>
                </c:pt>
                <c:pt idx="8">
                  <c:v>7.99</c:v>
                </c:pt>
              </c:numCache>
            </c:numRef>
          </c:val>
        </c:ser>
        <c:dLbls>
          <c:showLegendKey val="0"/>
          <c:showVal val="1"/>
          <c:showCatName val="0"/>
          <c:showSerName val="0"/>
          <c:showPercent val="0"/>
          <c:showBubbleSize val="0"/>
        </c:dLbls>
        <c:gapWidth val="150"/>
        <c:axId val="131443712"/>
        <c:axId val="114014976"/>
      </c:barChart>
      <c:catAx>
        <c:axId val="131443712"/>
        <c:scaling>
          <c:orientation val="minMax"/>
        </c:scaling>
        <c:delete val="0"/>
        <c:axPos val="b"/>
        <c:numFmt formatCode="General" sourceLinked="1"/>
        <c:majorTickMark val="out"/>
        <c:minorTickMark val="none"/>
        <c:tickLblPos val="nextTo"/>
        <c:spPr>
          <a:ln w="3171">
            <a:solidFill>
              <a:srgbClr val="808080"/>
            </a:solidFill>
            <a:prstDash val="solid"/>
          </a:ln>
        </c:spPr>
        <c:txPr>
          <a:bodyPr rot="-5400000" vert="horz"/>
          <a:lstStyle/>
          <a:p>
            <a:pPr>
              <a:defRPr lang="es-CO" sz="799" b="1"/>
            </a:pPr>
            <a:endParaRPr lang="es-CL"/>
          </a:p>
        </c:txPr>
        <c:crossAx val="114014976"/>
        <c:crosses val="autoZero"/>
        <c:auto val="1"/>
        <c:lblAlgn val="ctr"/>
        <c:lblOffset val="100"/>
        <c:noMultiLvlLbl val="0"/>
      </c:catAx>
      <c:valAx>
        <c:axId val="114014976"/>
        <c:scaling>
          <c:orientation val="minMax"/>
        </c:scaling>
        <c:delete val="0"/>
        <c:axPos val="l"/>
        <c:majorGridlines>
          <c:spPr>
            <a:ln w="3171">
              <a:solidFill>
                <a:srgbClr val="808080"/>
              </a:solidFill>
              <a:prstDash val="solid"/>
            </a:ln>
          </c:spPr>
        </c:majorGridlines>
        <c:numFmt formatCode="#,##0.00" sourceLinked="0"/>
        <c:majorTickMark val="out"/>
        <c:minorTickMark val="none"/>
        <c:tickLblPos val="nextTo"/>
        <c:spPr>
          <a:ln w="3171">
            <a:solidFill>
              <a:srgbClr val="808080"/>
            </a:solidFill>
            <a:prstDash val="solid"/>
          </a:ln>
        </c:spPr>
        <c:txPr>
          <a:bodyPr/>
          <a:lstStyle/>
          <a:p>
            <a:pPr>
              <a:defRPr lang="es-CO" sz="599" b="1"/>
            </a:pPr>
            <a:endParaRPr lang="es-CL"/>
          </a:p>
        </c:txPr>
        <c:crossAx val="131443712"/>
        <c:crosses val="autoZero"/>
        <c:crossBetween val="between"/>
      </c:valAx>
      <c:spPr>
        <a:solidFill>
          <a:srgbClr val="FFFFFF"/>
        </a:solidFill>
        <a:ln w="25369">
          <a:noFill/>
        </a:ln>
      </c:spPr>
    </c:plotArea>
    <c:legend>
      <c:legendPos val="r"/>
      <c:layout>
        <c:manualLayout>
          <c:xMode val="edge"/>
          <c:yMode val="edge"/>
          <c:x val="0.75342465753424703"/>
          <c:y val="0.5"/>
          <c:w val="0.24200913242009101"/>
          <c:h val="0.32142857142857101"/>
        </c:manualLayout>
      </c:layout>
      <c:overlay val="0"/>
      <c:spPr>
        <a:noFill/>
        <a:ln w="25369">
          <a:noFill/>
        </a:ln>
      </c:spPr>
      <c:txPr>
        <a:bodyPr/>
        <a:lstStyle/>
        <a:p>
          <a:pPr>
            <a:defRPr lang="es-CO" sz="799" b="1"/>
          </a:pPr>
          <a:endParaRPr lang="es-CL"/>
        </a:p>
      </c:txPr>
    </c:legend>
    <c:plotVisOnly val="1"/>
    <c:dispBlanksAs val="gap"/>
    <c:showDLblsOverMax val="0"/>
  </c:chart>
  <c:spPr>
    <a:solidFill>
      <a:srgbClr val="FFFFFF"/>
    </a:solidFill>
    <a:ln w="3171">
      <a:solidFill>
        <a:srgbClr val="808080"/>
      </a:solidFill>
      <a:prstDash val="solid"/>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5.4003724394785797E-2"/>
          <c:y val="6.9364161849711004E-2"/>
          <c:w val="0.92364990689013005"/>
          <c:h val="0.39306358381502898"/>
        </c:manualLayout>
      </c:layout>
      <c:barChart>
        <c:barDir val="col"/>
        <c:grouping val="clustered"/>
        <c:varyColors val="0"/>
        <c:ser>
          <c:idx val="0"/>
          <c:order val="0"/>
          <c:spPr>
            <a:solidFill>
              <a:srgbClr val="4F81BD"/>
            </a:solidFill>
            <a:ln w="25393">
              <a:noFill/>
            </a:ln>
          </c:spPr>
          <c:invertIfNegative val="0"/>
          <c:dLbls>
            <c:spPr>
              <a:noFill/>
              <a:ln w="25393">
                <a:noFill/>
              </a:ln>
            </c:spPr>
            <c:txPr>
              <a:bodyPr rot="-5400000" vert="horz"/>
              <a:lstStyle/>
              <a:p>
                <a:pPr>
                  <a:defRPr lang="es-CO" b="0" i="0"/>
                </a:pPr>
                <a:endParaRPr lang="es-CL"/>
              </a:p>
            </c:txPr>
            <c:showLegendKey val="0"/>
            <c:showVal val="1"/>
            <c:showCatName val="0"/>
            <c:showSerName val="0"/>
            <c:showPercent val="0"/>
            <c:showBubbleSize val="0"/>
            <c:showLeaderLines val="0"/>
          </c:dLbls>
          <c:cat>
            <c:strRef>
              <c:f>'Time (days)'!$A$2:$A$35</c:f>
              <c:strCache>
                <c:ptCount val="34"/>
                <c:pt idx="0">
                  <c:v>United States</c:v>
                </c:pt>
                <c:pt idx="1">
                  <c:v>Antigua and Barbuda</c:v>
                </c:pt>
                <c:pt idx="2">
                  <c:v>St. Vincent and the Grenadines</c:v>
                </c:pt>
                <c:pt idx="3">
                  <c:v>Mexico</c:v>
                </c:pt>
                <c:pt idx="4">
                  <c:v>Bahamas</c:v>
                </c:pt>
                <c:pt idx="5">
                  <c:v>Peru</c:v>
                </c:pt>
                <c:pt idx="6">
                  <c:v>Dominican Republic</c:v>
                </c:pt>
                <c:pt idx="7">
                  <c:v>Chile </c:v>
                </c:pt>
                <c:pt idx="8">
                  <c:v>Haiti</c:v>
                </c:pt>
                <c:pt idx="9">
                  <c:v>Venezuela</c:v>
                </c:pt>
                <c:pt idx="10">
                  <c:v>Nicaragua</c:v>
                </c:pt>
                <c:pt idx="11">
                  <c:v>Canada</c:v>
                </c:pt>
                <c:pt idx="12">
                  <c:v>St. Kitts and Nevis</c:v>
                </c:pt>
                <c:pt idx="13">
                  <c:v>Guyana</c:v>
                </c:pt>
                <c:pt idx="14">
                  <c:v>Ecuador</c:v>
                </c:pt>
                <c:pt idx="15">
                  <c:v>Argentina</c:v>
                </c:pt>
                <c:pt idx="16">
                  <c:v>Bolivia</c:v>
                </c:pt>
                <c:pt idx="17">
                  <c:v>Paraguay</c:v>
                </c:pt>
                <c:pt idx="18">
                  <c:v>Brazil</c:v>
                </c:pt>
                <c:pt idx="19">
                  <c:v>Puerto Rico</c:v>
                </c:pt>
                <c:pt idx="20">
                  <c:v>St. Lucia </c:v>
                </c:pt>
                <c:pt idx="21">
                  <c:v>Jamaica</c:v>
                </c:pt>
                <c:pt idx="22">
                  <c:v>Dominica</c:v>
                </c:pt>
                <c:pt idx="23">
                  <c:v>Panama</c:v>
                </c:pt>
                <c:pt idx="24">
                  <c:v>Grenada</c:v>
                </c:pt>
                <c:pt idx="25">
                  <c:v>Uruguay</c:v>
                </c:pt>
                <c:pt idx="26">
                  <c:v>El Salvador</c:v>
                </c:pt>
                <c:pt idx="27">
                  <c:v>Costa Rica</c:v>
                </c:pt>
                <c:pt idx="28">
                  <c:v>Belize</c:v>
                </c:pt>
                <c:pt idx="29">
                  <c:v>Honduras</c:v>
                </c:pt>
                <c:pt idx="30">
                  <c:v>Trinidad and Tobago </c:v>
                </c:pt>
                <c:pt idx="31">
                  <c:v>Colombia</c:v>
                </c:pt>
                <c:pt idx="32">
                  <c:v>Guatemala</c:v>
                </c:pt>
                <c:pt idx="33">
                  <c:v>Suriname</c:v>
                </c:pt>
              </c:strCache>
            </c:strRef>
          </c:cat>
          <c:val>
            <c:numRef>
              <c:f>'Time (days)'!$B$2:$B$35</c:f>
              <c:numCache>
                <c:formatCode>General</c:formatCode>
                <c:ptCount val="34"/>
                <c:pt idx="0">
                  <c:v>300</c:v>
                </c:pt>
                <c:pt idx="1">
                  <c:v>351</c:v>
                </c:pt>
                <c:pt idx="2">
                  <c:v>394</c:v>
                </c:pt>
                <c:pt idx="3">
                  <c:v>415</c:v>
                </c:pt>
                <c:pt idx="4">
                  <c:v>427</c:v>
                </c:pt>
                <c:pt idx="5">
                  <c:v>428</c:v>
                </c:pt>
                <c:pt idx="6">
                  <c:v>460</c:v>
                </c:pt>
                <c:pt idx="7">
                  <c:v>480</c:v>
                </c:pt>
                <c:pt idx="8">
                  <c:v>508</c:v>
                </c:pt>
                <c:pt idx="9">
                  <c:v>510</c:v>
                </c:pt>
                <c:pt idx="10">
                  <c:v>540</c:v>
                </c:pt>
                <c:pt idx="11">
                  <c:v>570</c:v>
                </c:pt>
                <c:pt idx="12">
                  <c:v>578</c:v>
                </c:pt>
                <c:pt idx="13">
                  <c:v>581</c:v>
                </c:pt>
                <c:pt idx="14">
                  <c:v>588</c:v>
                </c:pt>
                <c:pt idx="15">
                  <c:v>590</c:v>
                </c:pt>
                <c:pt idx="16">
                  <c:v>591</c:v>
                </c:pt>
                <c:pt idx="17">
                  <c:v>591</c:v>
                </c:pt>
                <c:pt idx="18">
                  <c:v>616</c:v>
                </c:pt>
                <c:pt idx="19">
                  <c:v>620</c:v>
                </c:pt>
                <c:pt idx="20">
                  <c:v>635</c:v>
                </c:pt>
                <c:pt idx="21">
                  <c:v>655</c:v>
                </c:pt>
                <c:pt idx="22">
                  <c:v>681</c:v>
                </c:pt>
                <c:pt idx="23">
                  <c:v>686</c:v>
                </c:pt>
                <c:pt idx="24">
                  <c:v>688</c:v>
                </c:pt>
                <c:pt idx="25">
                  <c:v>720</c:v>
                </c:pt>
                <c:pt idx="26">
                  <c:v>786</c:v>
                </c:pt>
                <c:pt idx="27">
                  <c:v>852</c:v>
                </c:pt>
                <c:pt idx="28">
                  <c:v>892</c:v>
                </c:pt>
                <c:pt idx="29">
                  <c:v>900</c:v>
                </c:pt>
                <c:pt idx="30">
                  <c:v>1340</c:v>
                </c:pt>
                <c:pt idx="31">
                  <c:v>1346</c:v>
                </c:pt>
                <c:pt idx="32">
                  <c:v>1459</c:v>
                </c:pt>
                <c:pt idx="33">
                  <c:v>1715</c:v>
                </c:pt>
              </c:numCache>
            </c:numRef>
          </c:val>
        </c:ser>
        <c:dLbls>
          <c:showLegendKey val="0"/>
          <c:showVal val="1"/>
          <c:showCatName val="0"/>
          <c:showSerName val="0"/>
          <c:showPercent val="0"/>
          <c:showBubbleSize val="0"/>
        </c:dLbls>
        <c:gapWidth val="150"/>
        <c:axId val="186420736"/>
        <c:axId val="186381376"/>
      </c:barChart>
      <c:catAx>
        <c:axId val="186420736"/>
        <c:scaling>
          <c:orientation val="minMax"/>
        </c:scaling>
        <c:delete val="0"/>
        <c:axPos val="b"/>
        <c:numFmt formatCode="General" sourceLinked="1"/>
        <c:majorTickMark val="out"/>
        <c:minorTickMark val="none"/>
        <c:tickLblPos val="nextTo"/>
        <c:spPr>
          <a:ln w="3174">
            <a:solidFill>
              <a:srgbClr val="808080"/>
            </a:solidFill>
            <a:prstDash val="solid"/>
          </a:ln>
        </c:spPr>
        <c:txPr>
          <a:bodyPr rot="-5400000" vert="horz"/>
          <a:lstStyle/>
          <a:p>
            <a:pPr>
              <a:defRPr lang="es-CO" sz="800" b="1"/>
            </a:pPr>
            <a:endParaRPr lang="es-CL"/>
          </a:p>
        </c:txPr>
        <c:crossAx val="186381376"/>
        <c:crosses val="autoZero"/>
        <c:auto val="1"/>
        <c:lblAlgn val="ctr"/>
        <c:lblOffset val="100"/>
        <c:noMultiLvlLbl val="0"/>
      </c:catAx>
      <c:valAx>
        <c:axId val="186381376"/>
        <c:scaling>
          <c:orientation val="minMax"/>
        </c:scaling>
        <c:delete val="0"/>
        <c:axPos val="l"/>
        <c:majorGridlines>
          <c:spPr>
            <a:ln w="3174">
              <a:solidFill>
                <a:srgbClr val="808080"/>
              </a:solidFill>
              <a:prstDash val="solid"/>
            </a:ln>
          </c:spPr>
        </c:majorGridlines>
        <c:numFmt formatCode="General" sourceLinked="1"/>
        <c:majorTickMark val="out"/>
        <c:minorTickMark val="none"/>
        <c:tickLblPos val="nextTo"/>
        <c:spPr>
          <a:ln w="3174">
            <a:solidFill>
              <a:srgbClr val="808080"/>
            </a:solidFill>
            <a:prstDash val="solid"/>
          </a:ln>
        </c:spPr>
        <c:txPr>
          <a:bodyPr/>
          <a:lstStyle/>
          <a:p>
            <a:pPr>
              <a:defRPr lang="es-CO" sz="600" b="1"/>
            </a:pPr>
            <a:endParaRPr lang="es-CL"/>
          </a:p>
        </c:txPr>
        <c:crossAx val="186420736"/>
        <c:crosses val="autoZero"/>
        <c:crossBetween val="between"/>
      </c:valAx>
      <c:spPr>
        <a:solidFill>
          <a:srgbClr val="FFFFFF"/>
        </a:solidFill>
        <a:ln w="25393">
          <a:noFill/>
        </a:ln>
      </c:spPr>
    </c:plotArea>
    <c:plotVisOnly val="1"/>
    <c:dispBlanksAs val="gap"/>
    <c:showDLblsOverMax val="0"/>
  </c:chart>
  <c:spPr>
    <a:solidFill>
      <a:srgbClr val="FFFFFF"/>
    </a:solidFill>
    <a:ln w="3174">
      <a:solidFill>
        <a:srgbClr val="808080"/>
      </a:solidFill>
      <a:prstDash val="solid"/>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4.4280442804428E-2"/>
          <c:y val="6.15384615384615E-2"/>
          <c:w val="0.93173431734317302"/>
          <c:h val="0.46153846153846201"/>
        </c:manualLayout>
      </c:layout>
      <c:barChart>
        <c:barDir val="col"/>
        <c:grouping val="clustered"/>
        <c:varyColors val="0"/>
        <c:ser>
          <c:idx val="0"/>
          <c:order val="0"/>
          <c:spPr>
            <a:solidFill>
              <a:srgbClr val="4F81BD"/>
            </a:solidFill>
            <a:ln w="25385">
              <a:noFill/>
            </a:ln>
          </c:spPr>
          <c:invertIfNegative val="0"/>
          <c:dLbls>
            <c:spPr>
              <a:noFill/>
              <a:ln w="25385">
                <a:noFill/>
              </a:ln>
            </c:spPr>
            <c:txPr>
              <a:bodyPr rot="-5400000" vert="horz"/>
              <a:lstStyle/>
              <a:p>
                <a:pPr>
                  <a:defRPr lang="es-CO" sz="899"/>
                </a:pPr>
                <a:endParaRPr lang="es-CL"/>
              </a:p>
            </c:txPr>
            <c:showLegendKey val="0"/>
            <c:showVal val="1"/>
            <c:showCatName val="0"/>
            <c:showSerName val="0"/>
            <c:showPercent val="0"/>
            <c:showBubbleSize val="0"/>
            <c:showLeaderLines val="0"/>
          </c:dLbls>
          <c:cat>
            <c:strRef>
              <c:f>'Cost as Percentage'!$A$2:$A$35</c:f>
              <c:strCache>
                <c:ptCount val="34"/>
                <c:pt idx="0">
                  <c:v>United States</c:v>
                </c:pt>
                <c:pt idx="1">
                  <c:v>Argentina</c:v>
                </c:pt>
                <c:pt idx="2">
                  <c:v>Brazil</c:v>
                </c:pt>
                <c:pt idx="3">
                  <c:v>Uruguay</c:v>
                </c:pt>
                <c:pt idx="4">
                  <c:v>El Salvador</c:v>
                </c:pt>
                <c:pt idx="5">
                  <c:v>St. Kitts and Nevis</c:v>
                </c:pt>
                <c:pt idx="6">
                  <c:v>Canada</c:v>
                </c:pt>
                <c:pt idx="7">
                  <c:v>Antigua and Barbuda</c:v>
                </c:pt>
                <c:pt idx="8">
                  <c:v>Costa Rica</c:v>
                </c:pt>
                <c:pt idx="9">
                  <c:v>Guyana</c:v>
                </c:pt>
                <c:pt idx="10">
                  <c:v>Puerto Rico</c:v>
                </c:pt>
                <c:pt idx="11">
                  <c:v>Guatemala</c:v>
                </c:pt>
                <c:pt idx="12">
                  <c:v>Nicaragua</c:v>
                </c:pt>
                <c:pt idx="13">
                  <c:v>Ecuador</c:v>
                </c:pt>
                <c:pt idx="14">
                  <c:v>Belize</c:v>
                </c:pt>
                <c:pt idx="15">
                  <c:v>Chile</c:v>
                </c:pt>
                <c:pt idx="16">
                  <c:v>Bahamas</c:v>
                </c:pt>
                <c:pt idx="17">
                  <c:v>Paraguay</c:v>
                </c:pt>
                <c:pt idx="18">
                  <c:v>St. Vincent and the Grenadines</c:v>
                </c:pt>
                <c:pt idx="19">
                  <c:v>Mexico</c:v>
                </c:pt>
                <c:pt idx="20">
                  <c:v>Grenada</c:v>
                </c:pt>
                <c:pt idx="21">
                  <c:v>Bolivia</c:v>
                </c:pt>
                <c:pt idx="22">
                  <c:v>Trinidad and Tobago</c:v>
                </c:pt>
                <c:pt idx="23">
                  <c:v>Honduras</c:v>
                </c:pt>
                <c:pt idx="24">
                  <c:v>Peru</c:v>
                </c:pt>
                <c:pt idx="25">
                  <c:v>Dominica</c:v>
                </c:pt>
                <c:pt idx="26">
                  <c:v>Suriname</c:v>
                </c:pt>
                <c:pt idx="27">
                  <c:v>St. Lucia</c:v>
                </c:pt>
                <c:pt idx="28">
                  <c:v>Dominican Republic</c:v>
                </c:pt>
                <c:pt idx="29">
                  <c:v>Haiti</c:v>
                </c:pt>
                <c:pt idx="30">
                  <c:v>Venezuela</c:v>
                </c:pt>
                <c:pt idx="31">
                  <c:v>Jamaica</c:v>
                </c:pt>
                <c:pt idx="32">
                  <c:v>Colombia</c:v>
                </c:pt>
                <c:pt idx="33">
                  <c:v>Panama</c:v>
                </c:pt>
              </c:strCache>
            </c:strRef>
          </c:cat>
          <c:val>
            <c:numRef>
              <c:f>'Cost as Percentage'!$B$2:$B$35</c:f>
              <c:numCache>
                <c:formatCode>General</c:formatCode>
                <c:ptCount val="34"/>
                <c:pt idx="0">
                  <c:v>14.4</c:v>
                </c:pt>
                <c:pt idx="1">
                  <c:v>16.5</c:v>
                </c:pt>
                <c:pt idx="2">
                  <c:v>16.5</c:v>
                </c:pt>
                <c:pt idx="3">
                  <c:v>19</c:v>
                </c:pt>
                <c:pt idx="4">
                  <c:v>19.2</c:v>
                </c:pt>
                <c:pt idx="5">
                  <c:v>20.5</c:v>
                </c:pt>
                <c:pt idx="6">
                  <c:v>22.3</c:v>
                </c:pt>
                <c:pt idx="7">
                  <c:v>22.7</c:v>
                </c:pt>
                <c:pt idx="8">
                  <c:v>24.3</c:v>
                </c:pt>
                <c:pt idx="9">
                  <c:v>25.2</c:v>
                </c:pt>
                <c:pt idx="10">
                  <c:v>25.6</c:v>
                </c:pt>
                <c:pt idx="11">
                  <c:v>26.5</c:v>
                </c:pt>
                <c:pt idx="12">
                  <c:v>26.8</c:v>
                </c:pt>
                <c:pt idx="13">
                  <c:v>27.2</c:v>
                </c:pt>
                <c:pt idx="14">
                  <c:v>27.5</c:v>
                </c:pt>
                <c:pt idx="15">
                  <c:v>28.6</c:v>
                </c:pt>
                <c:pt idx="16">
                  <c:v>28.9</c:v>
                </c:pt>
                <c:pt idx="17">
                  <c:v>30</c:v>
                </c:pt>
                <c:pt idx="18">
                  <c:v>30.3</c:v>
                </c:pt>
                <c:pt idx="19">
                  <c:v>32</c:v>
                </c:pt>
                <c:pt idx="20">
                  <c:v>32.6</c:v>
                </c:pt>
                <c:pt idx="21">
                  <c:v>33.200000000000003</c:v>
                </c:pt>
                <c:pt idx="22">
                  <c:v>33.5</c:v>
                </c:pt>
                <c:pt idx="23">
                  <c:v>35.200000000000003</c:v>
                </c:pt>
                <c:pt idx="24">
                  <c:v>35.700000000000003</c:v>
                </c:pt>
                <c:pt idx="25">
                  <c:v>36</c:v>
                </c:pt>
                <c:pt idx="26">
                  <c:v>37.1</c:v>
                </c:pt>
                <c:pt idx="27">
                  <c:v>37.299999999999997</c:v>
                </c:pt>
                <c:pt idx="28">
                  <c:v>40.9</c:v>
                </c:pt>
                <c:pt idx="29">
                  <c:v>42.6</c:v>
                </c:pt>
                <c:pt idx="30">
                  <c:v>43.7</c:v>
                </c:pt>
                <c:pt idx="31">
                  <c:v>45.6</c:v>
                </c:pt>
                <c:pt idx="32">
                  <c:v>47.9</c:v>
                </c:pt>
                <c:pt idx="33">
                  <c:v>50</c:v>
                </c:pt>
              </c:numCache>
            </c:numRef>
          </c:val>
        </c:ser>
        <c:dLbls>
          <c:showLegendKey val="0"/>
          <c:showVal val="1"/>
          <c:showCatName val="0"/>
          <c:showSerName val="0"/>
          <c:showPercent val="0"/>
          <c:showBubbleSize val="0"/>
        </c:dLbls>
        <c:gapWidth val="150"/>
        <c:axId val="131721216"/>
        <c:axId val="186383104"/>
      </c:barChart>
      <c:catAx>
        <c:axId val="131721216"/>
        <c:scaling>
          <c:orientation val="minMax"/>
        </c:scaling>
        <c:delete val="0"/>
        <c:axPos val="b"/>
        <c:numFmt formatCode="General" sourceLinked="1"/>
        <c:majorTickMark val="out"/>
        <c:minorTickMark val="none"/>
        <c:tickLblPos val="nextTo"/>
        <c:spPr>
          <a:ln w="3173">
            <a:solidFill>
              <a:srgbClr val="808080"/>
            </a:solidFill>
            <a:prstDash val="solid"/>
          </a:ln>
        </c:spPr>
        <c:txPr>
          <a:bodyPr rot="-5400000" vert="horz"/>
          <a:lstStyle/>
          <a:p>
            <a:pPr>
              <a:defRPr lang="es-CO" sz="800" b="1"/>
            </a:pPr>
            <a:endParaRPr lang="es-CL"/>
          </a:p>
        </c:txPr>
        <c:crossAx val="186383104"/>
        <c:crosses val="autoZero"/>
        <c:auto val="1"/>
        <c:lblAlgn val="ctr"/>
        <c:lblOffset val="100"/>
        <c:noMultiLvlLbl val="0"/>
      </c:catAx>
      <c:valAx>
        <c:axId val="186383104"/>
        <c:scaling>
          <c:orientation val="minMax"/>
        </c:scaling>
        <c:delete val="0"/>
        <c:axPos val="l"/>
        <c:majorGridlines>
          <c:spPr>
            <a:ln w="3173">
              <a:solidFill>
                <a:srgbClr val="808080"/>
              </a:solidFill>
              <a:prstDash val="solid"/>
            </a:ln>
          </c:spPr>
        </c:majorGridlines>
        <c:numFmt formatCode="General" sourceLinked="1"/>
        <c:majorTickMark val="out"/>
        <c:minorTickMark val="none"/>
        <c:tickLblPos val="nextTo"/>
        <c:spPr>
          <a:ln w="3173">
            <a:solidFill>
              <a:srgbClr val="808080"/>
            </a:solidFill>
            <a:prstDash val="solid"/>
          </a:ln>
        </c:spPr>
        <c:txPr>
          <a:bodyPr/>
          <a:lstStyle/>
          <a:p>
            <a:pPr>
              <a:defRPr lang="es-CO" sz="600" b="1"/>
            </a:pPr>
            <a:endParaRPr lang="es-CL"/>
          </a:p>
        </c:txPr>
        <c:crossAx val="131721216"/>
        <c:crosses val="autoZero"/>
        <c:crossBetween val="between"/>
      </c:valAx>
      <c:spPr>
        <a:solidFill>
          <a:srgbClr val="FFFFFF"/>
        </a:solidFill>
        <a:ln w="25385">
          <a:noFill/>
        </a:ln>
      </c:spPr>
    </c:plotArea>
    <c:plotVisOnly val="1"/>
    <c:dispBlanksAs val="gap"/>
    <c:showDLblsOverMax val="0"/>
  </c:chart>
  <c:spPr>
    <a:solidFill>
      <a:srgbClr val="FFFFFF"/>
    </a:solidFill>
    <a:ln w="3173">
      <a:solidFill>
        <a:srgbClr val="808080"/>
      </a:solidFill>
      <a:prstDash val="solid"/>
    </a:ln>
  </c:sp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1F2BB3B6-F7B8-4167-9F16-A2FC7F30D4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2685</Words>
  <Characters>14773</Characters>
  <Application>Microsoft Office Word</Application>
  <DocSecurity>0</DocSecurity>
  <Lines>123</Lines>
  <Paragraphs>34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INTRODUCTION</vt:lpstr>
      <vt:lpstr>INTRODUCTION</vt:lpstr>
    </vt:vector>
  </TitlesOfParts>
  <Company>-</Company>
  <LinksUpToDate>false</LinksUpToDate>
  <CharactersWithSpaces>17424</CharactersWithSpaces>
  <SharedDoc>false</SharedDoc>
  <HLinks>
    <vt:vector size="12" baseType="variant">
      <vt:variant>
        <vt:i4>1704055</vt:i4>
      </vt:variant>
      <vt:variant>
        <vt:i4>3</vt:i4>
      </vt:variant>
      <vt:variant>
        <vt:i4>0</vt:i4>
      </vt:variant>
      <vt:variant>
        <vt:i4>5</vt:i4>
      </vt:variant>
      <vt:variant>
        <vt:lpwstr>http://www.ceja.cl/reporte/2008-2009/muestra_portada3217e.html?idioma=espanol&amp;tipreport=REPORTE4</vt:lpwstr>
      </vt:variant>
      <vt:variant>
        <vt:lpwstr/>
      </vt:variant>
      <vt:variant>
        <vt:i4>65640</vt:i4>
      </vt:variant>
      <vt:variant>
        <vt:i4>0</vt:i4>
      </vt:variant>
      <vt:variant>
        <vt:i4>0</vt:i4>
      </vt:variant>
      <vt:variant>
        <vt:i4>5</vt:i4>
      </vt:variant>
      <vt:variant>
        <vt:lpwstr>http://www.cejamericas.org/portal/index.php/es/biblioteca/biblioteca-virtual/doc_details/1831-reforma-a-la-justicia-civil-en-america-latina-un-asunto-que-ha-estado-en-marcha-pero-aun-continua-pendiente</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dc:title>
  <dc:creator>Ceja</dc:creator>
  <cp:lastModifiedBy>Sandra</cp:lastModifiedBy>
  <cp:revision>2</cp:revision>
  <dcterms:created xsi:type="dcterms:W3CDTF">2011-10-24T12:58:00Z</dcterms:created>
  <dcterms:modified xsi:type="dcterms:W3CDTF">2011-10-24T12:58:00Z</dcterms:modified>
</cp:coreProperties>
</file>